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E8C75" w14:textId="319D6470" w:rsidR="00EF5800" w:rsidRDefault="004216A3" w:rsidP="00B13744">
      <w:pPr>
        <w:pStyle w:val="naisnod"/>
        <w:spacing w:before="0" w:after="0" w:line="276" w:lineRule="auto"/>
        <w:rPr>
          <w:sz w:val="28"/>
        </w:rPr>
      </w:pPr>
      <w:bookmarkStart w:id="0" w:name="_GoBack"/>
      <w:bookmarkEnd w:id="0"/>
      <w:r w:rsidRPr="004B3F15">
        <w:rPr>
          <w:sz w:val="28"/>
        </w:rPr>
        <w:t>TEHNISKĀ SPECIFIKĀCIJA</w:t>
      </w:r>
    </w:p>
    <w:p w14:paraId="7E22F8B2" w14:textId="026279FE" w:rsidR="00541841" w:rsidRDefault="00541841" w:rsidP="00B13744">
      <w:pPr>
        <w:pStyle w:val="naisnod"/>
        <w:spacing w:before="0" w:after="0" w:line="276" w:lineRule="auto"/>
        <w:rPr>
          <w:sz w:val="28"/>
        </w:rPr>
      </w:pPr>
      <w:r>
        <w:t>Eksperta</w:t>
      </w:r>
      <w:r w:rsidRPr="003F4AAD">
        <w:t xml:space="preserve"> pakalpojumi par jaunā pedagogu darba samaksas modeļa priekšlikumiem</w:t>
      </w:r>
    </w:p>
    <w:p w14:paraId="753C9DF7" w14:textId="77777777" w:rsidR="00541841" w:rsidRPr="000B3F3E" w:rsidRDefault="00541841" w:rsidP="00541841">
      <w:pPr>
        <w:tabs>
          <w:tab w:val="left" w:pos="480"/>
        </w:tabs>
        <w:spacing w:before="120" w:after="120" w:line="276" w:lineRule="auto"/>
        <w:jc w:val="both"/>
      </w:pPr>
      <w:r w:rsidRPr="000B3F3E">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541841" w:rsidRPr="000B3F3E" w14:paraId="359D90BD" w14:textId="77777777" w:rsidTr="00C87E6C">
        <w:tc>
          <w:tcPr>
            <w:tcW w:w="2984" w:type="dxa"/>
            <w:shd w:val="clear" w:color="auto" w:fill="auto"/>
          </w:tcPr>
          <w:p w14:paraId="318503CB" w14:textId="77777777" w:rsidR="00541841" w:rsidRPr="000B3F3E" w:rsidRDefault="00541841" w:rsidP="00C87E6C">
            <w:pPr>
              <w:tabs>
                <w:tab w:val="left" w:pos="480"/>
              </w:tabs>
              <w:spacing w:before="120" w:after="120" w:line="276" w:lineRule="auto"/>
              <w:jc w:val="both"/>
              <w:rPr>
                <w:bCs/>
              </w:rPr>
            </w:pPr>
            <w:proofErr w:type="spellStart"/>
            <w:r w:rsidRPr="000B3F3E">
              <w:rPr>
                <w:bCs/>
              </w:rPr>
              <w:t>Pretendenta</w:t>
            </w:r>
            <w:proofErr w:type="spellEnd"/>
            <w:r w:rsidRPr="000B3F3E">
              <w:rPr>
                <w:bCs/>
              </w:rPr>
              <w:t xml:space="preserve"> </w:t>
            </w:r>
            <w:proofErr w:type="spellStart"/>
            <w:r w:rsidRPr="000B3F3E">
              <w:rPr>
                <w:bCs/>
              </w:rPr>
              <w:t>nosaukums</w:t>
            </w:r>
            <w:proofErr w:type="spellEnd"/>
            <w:r w:rsidRPr="000B3F3E">
              <w:rPr>
                <w:bCs/>
              </w:rPr>
              <w:t>:</w:t>
            </w:r>
          </w:p>
        </w:tc>
        <w:tc>
          <w:tcPr>
            <w:tcW w:w="5942" w:type="dxa"/>
            <w:shd w:val="clear" w:color="auto" w:fill="auto"/>
          </w:tcPr>
          <w:p w14:paraId="56EF4E59" w14:textId="77777777" w:rsidR="00541841" w:rsidRPr="000B3F3E" w:rsidRDefault="00541841" w:rsidP="00C87E6C">
            <w:pPr>
              <w:tabs>
                <w:tab w:val="left" w:pos="480"/>
              </w:tabs>
              <w:spacing w:before="120" w:after="120" w:line="276" w:lineRule="auto"/>
              <w:jc w:val="both"/>
              <w:rPr>
                <w:bCs/>
              </w:rPr>
            </w:pPr>
          </w:p>
        </w:tc>
      </w:tr>
      <w:tr w:rsidR="00541841" w:rsidRPr="000B3F3E" w14:paraId="6A5F6732" w14:textId="77777777" w:rsidTr="00C87E6C">
        <w:tc>
          <w:tcPr>
            <w:tcW w:w="2984" w:type="dxa"/>
            <w:shd w:val="clear" w:color="auto" w:fill="auto"/>
          </w:tcPr>
          <w:p w14:paraId="78C6656B" w14:textId="77777777" w:rsidR="00541841" w:rsidRPr="000B3F3E" w:rsidRDefault="00541841" w:rsidP="00C87E6C">
            <w:pPr>
              <w:tabs>
                <w:tab w:val="left" w:pos="480"/>
              </w:tabs>
              <w:spacing w:before="120" w:after="120" w:line="276" w:lineRule="auto"/>
              <w:jc w:val="both"/>
              <w:rPr>
                <w:bCs/>
              </w:rPr>
            </w:pPr>
            <w:proofErr w:type="spellStart"/>
            <w:r w:rsidRPr="000B3F3E">
              <w:rPr>
                <w:bCs/>
              </w:rPr>
              <w:t>Reģistrācijas</w:t>
            </w:r>
            <w:proofErr w:type="spellEnd"/>
            <w:r w:rsidRPr="000B3F3E">
              <w:rPr>
                <w:bCs/>
              </w:rPr>
              <w:t xml:space="preserve"> nr.:</w:t>
            </w:r>
          </w:p>
        </w:tc>
        <w:tc>
          <w:tcPr>
            <w:tcW w:w="5942" w:type="dxa"/>
            <w:shd w:val="clear" w:color="auto" w:fill="auto"/>
          </w:tcPr>
          <w:p w14:paraId="6E2DB400" w14:textId="77777777" w:rsidR="00541841" w:rsidRPr="000B3F3E" w:rsidRDefault="00541841" w:rsidP="00C87E6C">
            <w:pPr>
              <w:tabs>
                <w:tab w:val="left" w:pos="480"/>
              </w:tabs>
              <w:spacing w:before="120" w:after="120" w:line="276" w:lineRule="auto"/>
              <w:jc w:val="both"/>
              <w:rPr>
                <w:bCs/>
              </w:rPr>
            </w:pPr>
          </w:p>
        </w:tc>
      </w:tr>
      <w:tr w:rsidR="00541841" w:rsidRPr="000B3F3E" w14:paraId="6961C29D" w14:textId="77777777" w:rsidTr="00C87E6C">
        <w:tc>
          <w:tcPr>
            <w:tcW w:w="2984" w:type="dxa"/>
            <w:shd w:val="clear" w:color="auto" w:fill="auto"/>
          </w:tcPr>
          <w:p w14:paraId="6906EB76" w14:textId="77777777" w:rsidR="00541841" w:rsidRPr="000B3F3E" w:rsidRDefault="00541841" w:rsidP="00C87E6C">
            <w:pPr>
              <w:tabs>
                <w:tab w:val="left" w:pos="480"/>
              </w:tabs>
              <w:spacing w:before="120" w:after="120" w:line="276" w:lineRule="auto"/>
              <w:jc w:val="both"/>
              <w:rPr>
                <w:bCs/>
              </w:rPr>
            </w:pPr>
            <w:proofErr w:type="spellStart"/>
            <w:r w:rsidRPr="000B3F3E">
              <w:rPr>
                <w:bCs/>
              </w:rPr>
              <w:t>Juridiskā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49840933" w14:textId="77777777" w:rsidR="00541841" w:rsidRPr="000B3F3E" w:rsidRDefault="00541841" w:rsidP="00C87E6C">
            <w:pPr>
              <w:tabs>
                <w:tab w:val="left" w:pos="480"/>
              </w:tabs>
              <w:spacing w:before="120" w:after="120" w:line="276" w:lineRule="auto"/>
              <w:jc w:val="both"/>
              <w:rPr>
                <w:bCs/>
              </w:rPr>
            </w:pPr>
          </w:p>
        </w:tc>
      </w:tr>
      <w:tr w:rsidR="00541841" w:rsidRPr="000B3F3E" w14:paraId="13365A69" w14:textId="77777777" w:rsidTr="00C87E6C">
        <w:tc>
          <w:tcPr>
            <w:tcW w:w="2984" w:type="dxa"/>
            <w:shd w:val="clear" w:color="auto" w:fill="auto"/>
          </w:tcPr>
          <w:p w14:paraId="6674001D" w14:textId="77777777" w:rsidR="00541841" w:rsidRPr="000B3F3E" w:rsidRDefault="00541841" w:rsidP="00C87E6C">
            <w:pPr>
              <w:tabs>
                <w:tab w:val="left" w:pos="480"/>
              </w:tabs>
              <w:spacing w:before="120" w:after="120" w:line="276" w:lineRule="auto"/>
              <w:jc w:val="both"/>
              <w:rPr>
                <w:bCs/>
              </w:rPr>
            </w:pPr>
            <w:proofErr w:type="spellStart"/>
            <w:r w:rsidRPr="000B3F3E">
              <w:rPr>
                <w:bCs/>
              </w:rPr>
              <w:t>Faktiskā</w:t>
            </w:r>
            <w:proofErr w:type="spellEnd"/>
            <w:r w:rsidRPr="000B3F3E">
              <w:rPr>
                <w:bCs/>
              </w:rPr>
              <w:t xml:space="preserve"> </w:t>
            </w:r>
            <w:proofErr w:type="spellStart"/>
            <w:r w:rsidRPr="000B3F3E">
              <w:rPr>
                <w:bCs/>
              </w:rPr>
              <w:t>adrese</w:t>
            </w:r>
            <w:proofErr w:type="spellEnd"/>
            <w:r w:rsidRPr="000B3F3E">
              <w:rPr>
                <w:bCs/>
              </w:rPr>
              <w:t>:</w:t>
            </w:r>
          </w:p>
        </w:tc>
        <w:tc>
          <w:tcPr>
            <w:tcW w:w="5942" w:type="dxa"/>
            <w:shd w:val="clear" w:color="auto" w:fill="auto"/>
          </w:tcPr>
          <w:p w14:paraId="0B3534C7" w14:textId="77777777" w:rsidR="00541841" w:rsidRPr="000B3F3E" w:rsidRDefault="00541841" w:rsidP="00C87E6C">
            <w:pPr>
              <w:tabs>
                <w:tab w:val="left" w:pos="480"/>
              </w:tabs>
              <w:spacing w:before="120" w:after="120" w:line="276" w:lineRule="auto"/>
              <w:jc w:val="both"/>
              <w:rPr>
                <w:bCs/>
              </w:rPr>
            </w:pPr>
          </w:p>
        </w:tc>
      </w:tr>
      <w:tr w:rsidR="00541841" w:rsidRPr="000B3F3E" w14:paraId="7E21FAE1" w14:textId="77777777" w:rsidTr="00C87E6C">
        <w:tc>
          <w:tcPr>
            <w:tcW w:w="2984" w:type="dxa"/>
            <w:shd w:val="clear" w:color="auto" w:fill="auto"/>
          </w:tcPr>
          <w:p w14:paraId="273736C0" w14:textId="77777777" w:rsidR="00541841" w:rsidRPr="000B3F3E" w:rsidRDefault="00541841" w:rsidP="00C87E6C">
            <w:pPr>
              <w:tabs>
                <w:tab w:val="left" w:pos="480"/>
              </w:tabs>
              <w:spacing w:before="120" w:after="120" w:line="276" w:lineRule="auto"/>
              <w:jc w:val="both"/>
              <w:rPr>
                <w:bCs/>
              </w:rPr>
            </w:pPr>
            <w:r w:rsidRPr="000B3F3E">
              <w:rPr>
                <w:bCs/>
              </w:rPr>
              <w:t xml:space="preserve">e-pasta </w:t>
            </w:r>
            <w:proofErr w:type="spellStart"/>
            <w:r w:rsidRPr="000B3F3E">
              <w:rPr>
                <w:bCs/>
              </w:rPr>
              <w:t>adrese</w:t>
            </w:r>
            <w:proofErr w:type="spellEnd"/>
            <w:r w:rsidRPr="000B3F3E">
              <w:rPr>
                <w:bCs/>
              </w:rPr>
              <w:t>:</w:t>
            </w:r>
          </w:p>
        </w:tc>
        <w:tc>
          <w:tcPr>
            <w:tcW w:w="5942" w:type="dxa"/>
            <w:shd w:val="clear" w:color="auto" w:fill="auto"/>
          </w:tcPr>
          <w:p w14:paraId="0C3C3DF8" w14:textId="77777777" w:rsidR="00541841" w:rsidRPr="000B3F3E" w:rsidRDefault="00541841" w:rsidP="00C87E6C">
            <w:pPr>
              <w:tabs>
                <w:tab w:val="left" w:pos="480"/>
              </w:tabs>
              <w:spacing w:before="120" w:after="120" w:line="276" w:lineRule="auto"/>
              <w:jc w:val="both"/>
              <w:rPr>
                <w:bCs/>
              </w:rPr>
            </w:pPr>
          </w:p>
        </w:tc>
      </w:tr>
      <w:tr w:rsidR="00541841" w:rsidRPr="000B3F3E" w14:paraId="21D44CA3" w14:textId="77777777" w:rsidTr="00C87E6C">
        <w:tc>
          <w:tcPr>
            <w:tcW w:w="2984" w:type="dxa"/>
            <w:shd w:val="clear" w:color="auto" w:fill="auto"/>
          </w:tcPr>
          <w:p w14:paraId="78A274E2" w14:textId="77777777" w:rsidR="00541841" w:rsidRPr="000B3F3E" w:rsidRDefault="00541841" w:rsidP="00C87E6C">
            <w:pPr>
              <w:tabs>
                <w:tab w:val="left" w:pos="480"/>
              </w:tabs>
              <w:spacing w:before="120" w:after="120" w:line="276" w:lineRule="auto"/>
              <w:jc w:val="both"/>
              <w:rPr>
                <w:bCs/>
              </w:rPr>
            </w:pPr>
            <w:proofErr w:type="spellStart"/>
            <w:r w:rsidRPr="000B3F3E">
              <w:rPr>
                <w:bCs/>
              </w:rPr>
              <w:t>Tālr</w:t>
            </w:r>
            <w:proofErr w:type="spellEnd"/>
            <w:r w:rsidRPr="000B3F3E">
              <w:rPr>
                <w:bCs/>
              </w:rPr>
              <w:t xml:space="preserve">. </w:t>
            </w:r>
          </w:p>
        </w:tc>
        <w:tc>
          <w:tcPr>
            <w:tcW w:w="5942" w:type="dxa"/>
            <w:shd w:val="clear" w:color="auto" w:fill="auto"/>
          </w:tcPr>
          <w:p w14:paraId="0B6AF8B7" w14:textId="77777777" w:rsidR="00541841" w:rsidRPr="000B3F3E" w:rsidRDefault="00541841" w:rsidP="00C87E6C">
            <w:pPr>
              <w:tabs>
                <w:tab w:val="left" w:pos="480"/>
              </w:tabs>
              <w:spacing w:before="120" w:after="120" w:line="276" w:lineRule="auto"/>
              <w:jc w:val="both"/>
              <w:rPr>
                <w:bCs/>
              </w:rPr>
            </w:pPr>
          </w:p>
        </w:tc>
      </w:tr>
      <w:tr w:rsidR="00541841" w:rsidRPr="000B3F3E" w14:paraId="743F3359" w14:textId="77777777" w:rsidTr="00C87E6C">
        <w:tc>
          <w:tcPr>
            <w:tcW w:w="2984" w:type="dxa"/>
            <w:shd w:val="clear" w:color="auto" w:fill="auto"/>
          </w:tcPr>
          <w:p w14:paraId="688CDFFB" w14:textId="77777777" w:rsidR="00541841" w:rsidRPr="000B3F3E" w:rsidRDefault="00541841" w:rsidP="00C87E6C">
            <w:pPr>
              <w:tabs>
                <w:tab w:val="left" w:pos="480"/>
              </w:tabs>
              <w:spacing w:before="120" w:after="120" w:line="276" w:lineRule="auto"/>
              <w:jc w:val="both"/>
              <w:rPr>
                <w:bCs/>
              </w:rPr>
            </w:pPr>
            <w:r w:rsidRPr="000B3F3E">
              <w:t xml:space="preserve">Banka, </w:t>
            </w:r>
            <w:proofErr w:type="spellStart"/>
            <w:r w:rsidRPr="000B3F3E">
              <w:t>Kods</w:t>
            </w:r>
            <w:proofErr w:type="spellEnd"/>
            <w:r w:rsidRPr="000B3F3E">
              <w:t xml:space="preserve">, </w:t>
            </w:r>
            <w:proofErr w:type="spellStart"/>
            <w:r w:rsidRPr="000B3F3E">
              <w:t>Konts</w:t>
            </w:r>
            <w:proofErr w:type="spellEnd"/>
            <w:r w:rsidRPr="000B3F3E">
              <w:t xml:space="preserve">: </w:t>
            </w:r>
          </w:p>
        </w:tc>
        <w:tc>
          <w:tcPr>
            <w:tcW w:w="5942" w:type="dxa"/>
            <w:shd w:val="clear" w:color="auto" w:fill="auto"/>
          </w:tcPr>
          <w:p w14:paraId="7F79870E" w14:textId="77777777" w:rsidR="00541841" w:rsidRPr="000B3F3E" w:rsidRDefault="00541841" w:rsidP="00C87E6C">
            <w:pPr>
              <w:tabs>
                <w:tab w:val="left" w:pos="480"/>
              </w:tabs>
              <w:spacing w:before="120" w:after="120" w:line="276" w:lineRule="auto"/>
              <w:jc w:val="both"/>
              <w:rPr>
                <w:bCs/>
              </w:rPr>
            </w:pPr>
          </w:p>
        </w:tc>
      </w:tr>
    </w:tbl>
    <w:p w14:paraId="37A1C290" w14:textId="77777777" w:rsidR="00541841" w:rsidRPr="000B3F3E" w:rsidRDefault="00541841" w:rsidP="00541841">
      <w:pPr>
        <w:spacing w:after="120" w:line="276" w:lineRule="auto"/>
        <w:jc w:val="both"/>
      </w:pPr>
    </w:p>
    <w:p w14:paraId="53B1D113" w14:textId="77777777" w:rsidR="00541841" w:rsidRPr="000B3F3E" w:rsidRDefault="00541841" w:rsidP="00541841">
      <w:pPr>
        <w:keepNext/>
        <w:tabs>
          <w:tab w:val="left" w:pos="480"/>
        </w:tabs>
        <w:spacing w:line="276" w:lineRule="auto"/>
        <w:jc w:val="both"/>
        <w:outlineLvl w:val="0"/>
      </w:pPr>
      <w:r w:rsidRPr="000B3F3E">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41841" w:rsidRPr="000B3F3E" w14:paraId="2A59BDE9" w14:textId="77777777" w:rsidTr="00C87E6C">
        <w:tc>
          <w:tcPr>
            <w:tcW w:w="2990" w:type="dxa"/>
            <w:shd w:val="clear" w:color="auto" w:fill="auto"/>
          </w:tcPr>
          <w:p w14:paraId="67AE99AC" w14:textId="77777777" w:rsidR="00541841" w:rsidRPr="000B3F3E" w:rsidRDefault="00541841" w:rsidP="00C87E6C">
            <w:pPr>
              <w:spacing w:before="120" w:after="120" w:line="276" w:lineRule="auto"/>
            </w:pPr>
            <w:proofErr w:type="spellStart"/>
            <w:r w:rsidRPr="000B3F3E">
              <w:t>Vārds</w:t>
            </w:r>
            <w:proofErr w:type="spellEnd"/>
            <w:r w:rsidRPr="000B3F3E">
              <w:t xml:space="preserve">, </w:t>
            </w:r>
            <w:proofErr w:type="spellStart"/>
            <w:r w:rsidRPr="000B3F3E">
              <w:t>uzvārds</w:t>
            </w:r>
            <w:proofErr w:type="spellEnd"/>
            <w:r w:rsidRPr="000B3F3E">
              <w:t>:</w:t>
            </w:r>
          </w:p>
        </w:tc>
        <w:tc>
          <w:tcPr>
            <w:tcW w:w="6077" w:type="dxa"/>
            <w:shd w:val="clear" w:color="auto" w:fill="auto"/>
          </w:tcPr>
          <w:p w14:paraId="304A382C" w14:textId="77777777" w:rsidR="00541841" w:rsidRPr="000B3F3E" w:rsidRDefault="00541841" w:rsidP="00C87E6C">
            <w:pPr>
              <w:spacing w:before="120" w:after="120" w:line="276" w:lineRule="auto"/>
            </w:pPr>
          </w:p>
        </w:tc>
      </w:tr>
      <w:tr w:rsidR="00541841" w:rsidRPr="000B3F3E" w14:paraId="001E347C" w14:textId="77777777" w:rsidTr="00C87E6C">
        <w:tc>
          <w:tcPr>
            <w:tcW w:w="2990" w:type="dxa"/>
            <w:shd w:val="clear" w:color="auto" w:fill="auto"/>
          </w:tcPr>
          <w:p w14:paraId="4FD769E3" w14:textId="77777777" w:rsidR="00541841" w:rsidRPr="000B3F3E" w:rsidRDefault="00541841" w:rsidP="00C87E6C">
            <w:pPr>
              <w:spacing w:before="120" w:after="120" w:line="276" w:lineRule="auto"/>
            </w:pPr>
            <w:proofErr w:type="spellStart"/>
            <w:r w:rsidRPr="000B3F3E">
              <w:t>Ieņemamais</w:t>
            </w:r>
            <w:proofErr w:type="spellEnd"/>
            <w:r w:rsidRPr="000B3F3E">
              <w:t xml:space="preserve"> </w:t>
            </w:r>
            <w:proofErr w:type="spellStart"/>
            <w:r w:rsidRPr="000B3F3E">
              <w:t>amats</w:t>
            </w:r>
            <w:proofErr w:type="spellEnd"/>
            <w:r w:rsidRPr="000B3F3E">
              <w:t>:</w:t>
            </w:r>
          </w:p>
        </w:tc>
        <w:tc>
          <w:tcPr>
            <w:tcW w:w="6077" w:type="dxa"/>
            <w:shd w:val="clear" w:color="auto" w:fill="auto"/>
          </w:tcPr>
          <w:p w14:paraId="160605EE" w14:textId="77777777" w:rsidR="00541841" w:rsidRPr="000B3F3E" w:rsidRDefault="00541841" w:rsidP="00C87E6C">
            <w:pPr>
              <w:spacing w:before="120" w:after="120" w:line="276" w:lineRule="auto"/>
            </w:pPr>
          </w:p>
        </w:tc>
      </w:tr>
      <w:tr w:rsidR="00541841" w:rsidRPr="000B3F3E" w14:paraId="4F4EE3AE" w14:textId="77777777" w:rsidTr="00C87E6C">
        <w:tc>
          <w:tcPr>
            <w:tcW w:w="2990" w:type="dxa"/>
            <w:shd w:val="clear" w:color="auto" w:fill="auto"/>
          </w:tcPr>
          <w:p w14:paraId="21D0354B" w14:textId="77777777" w:rsidR="00541841" w:rsidRPr="000B3F3E" w:rsidRDefault="00541841" w:rsidP="00C87E6C">
            <w:pPr>
              <w:spacing w:before="120" w:after="120" w:line="276" w:lineRule="auto"/>
            </w:pPr>
            <w:proofErr w:type="spellStart"/>
            <w:r w:rsidRPr="000B3F3E">
              <w:t>Tālr</w:t>
            </w:r>
            <w:proofErr w:type="spellEnd"/>
            <w:r w:rsidRPr="000B3F3E">
              <w:t>.</w:t>
            </w:r>
          </w:p>
        </w:tc>
        <w:tc>
          <w:tcPr>
            <w:tcW w:w="6077" w:type="dxa"/>
            <w:shd w:val="clear" w:color="auto" w:fill="auto"/>
          </w:tcPr>
          <w:p w14:paraId="4B993339" w14:textId="77777777" w:rsidR="00541841" w:rsidRPr="000B3F3E" w:rsidRDefault="00541841" w:rsidP="00C87E6C">
            <w:pPr>
              <w:spacing w:before="120" w:after="120" w:line="276" w:lineRule="auto"/>
            </w:pPr>
          </w:p>
        </w:tc>
      </w:tr>
      <w:tr w:rsidR="00541841" w:rsidRPr="000B3F3E" w14:paraId="64D4500B" w14:textId="77777777" w:rsidTr="00C87E6C">
        <w:tc>
          <w:tcPr>
            <w:tcW w:w="2990" w:type="dxa"/>
            <w:shd w:val="clear" w:color="auto" w:fill="auto"/>
          </w:tcPr>
          <w:p w14:paraId="2081591D" w14:textId="77777777" w:rsidR="00541841" w:rsidRPr="000B3F3E" w:rsidRDefault="00541841" w:rsidP="00C87E6C">
            <w:pPr>
              <w:spacing w:before="120" w:after="120" w:line="276" w:lineRule="auto"/>
            </w:pPr>
            <w:r w:rsidRPr="000B3F3E">
              <w:rPr>
                <w:bCs/>
              </w:rPr>
              <w:t xml:space="preserve">e-pasta </w:t>
            </w:r>
            <w:proofErr w:type="spellStart"/>
            <w:r w:rsidRPr="000B3F3E">
              <w:rPr>
                <w:bCs/>
              </w:rPr>
              <w:t>adrese</w:t>
            </w:r>
            <w:proofErr w:type="spellEnd"/>
            <w:r w:rsidRPr="000B3F3E">
              <w:rPr>
                <w:bCs/>
              </w:rPr>
              <w:t>:</w:t>
            </w:r>
          </w:p>
        </w:tc>
        <w:tc>
          <w:tcPr>
            <w:tcW w:w="6077" w:type="dxa"/>
            <w:shd w:val="clear" w:color="auto" w:fill="auto"/>
          </w:tcPr>
          <w:p w14:paraId="1D446B47" w14:textId="77777777" w:rsidR="00541841" w:rsidRPr="000B3F3E" w:rsidRDefault="00541841" w:rsidP="00C87E6C">
            <w:pPr>
              <w:spacing w:before="120" w:after="120" w:line="276" w:lineRule="auto"/>
            </w:pPr>
          </w:p>
        </w:tc>
      </w:tr>
    </w:tbl>
    <w:p w14:paraId="56E6F472" w14:textId="77777777" w:rsidR="00541841" w:rsidRDefault="00541841" w:rsidP="00B13744">
      <w:pPr>
        <w:pStyle w:val="naisnod"/>
        <w:spacing w:before="0" w:after="0" w:line="276" w:lineRule="auto"/>
        <w:rPr>
          <w:sz w:val="28"/>
        </w:rPr>
      </w:pPr>
    </w:p>
    <w:p w14:paraId="7DBF28FC" w14:textId="77777777" w:rsidR="00EF5800" w:rsidRPr="00810DC4" w:rsidRDefault="00EF5800" w:rsidP="00B13744">
      <w:pPr>
        <w:pStyle w:val="naisnod"/>
        <w:spacing w:before="0" w:after="0" w:line="276" w:lineRule="auto"/>
      </w:pPr>
    </w:p>
    <w:p w14:paraId="29944C80" w14:textId="1527FD7E" w:rsidR="00EF5800" w:rsidRPr="004216A3" w:rsidRDefault="00EF5800" w:rsidP="00B13744">
      <w:pPr>
        <w:pStyle w:val="naisnod"/>
        <w:spacing w:before="0" w:after="0" w:line="276" w:lineRule="auto"/>
        <w:jc w:val="left"/>
      </w:pPr>
      <w:r w:rsidRPr="004216A3">
        <w:t xml:space="preserve">Informācija par </w:t>
      </w:r>
      <w:r w:rsidR="00771F31">
        <w:t>P</w:t>
      </w:r>
      <w:r w:rsidRPr="004216A3">
        <w:t>asūtītāju:</w:t>
      </w:r>
    </w:p>
    <w:tbl>
      <w:tblPr>
        <w:tblW w:w="9469" w:type="dxa"/>
        <w:tblInd w:w="-5" w:type="dxa"/>
        <w:tblLayout w:type="fixed"/>
        <w:tblLook w:val="0000" w:firstRow="0" w:lastRow="0" w:firstColumn="0" w:lastColumn="0" w:noHBand="0" w:noVBand="0"/>
      </w:tblPr>
      <w:tblGrid>
        <w:gridCol w:w="4261"/>
        <w:gridCol w:w="5208"/>
      </w:tblGrid>
      <w:tr w:rsidR="00EF5800" w:rsidRPr="004B3F15" w14:paraId="5A752057" w14:textId="77777777" w:rsidTr="00B474AE">
        <w:tc>
          <w:tcPr>
            <w:tcW w:w="4261" w:type="dxa"/>
            <w:tcBorders>
              <w:top w:val="single" w:sz="4" w:space="0" w:color="000000"/>
              <w:left w:val="single" w:sz="4" w:space="0" w:color="000000"/>
              <w:bottom w:val="single" w:sz="4" w:space="0" w:color="000000"/>
            </w:tcBorders>
            <w:shd w:val="clear" w:color="auto" w:fill="auto"/>
          </w:tcPr>
          <w:p w14:paraId="39479534" w14:textId="77777777" w:rsidR="00EF5800" w:rsidRPr="004B3F15" w:rsidRDefault="00EF5800" w:rsidP="00B13744">
            <w:pPr>
              <w:pStyle w:val="Heading1"/>
              <w:spacing w:line="276" w:lineRule="auto"/>
            </w:pPr>
            <w:r w:rsidRPr="004B3F15">
              <w:t xml:space="preserve">Nosaukums </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0A33C968" w14:textId="77777777" w:rsidR="003B06BE" w:rsidRPr="004B3F15" w:rsidRDefault="003B06BE" w:rsidP="00B13744">
            <w:pPr>
              <w:pStyle w:val="naisnod"/>
              <w:spacing w:before="0" w:after="0" w:line="276" w:lineRule="auto"/>
              <w:jc w:val="left"/>
              <w:rPr>
                <w:b w:val="0"/>
                <w:bCs w:val="0"/>
              </w:rPr>
            </w:pPr>
            <w:r w:rsidRPr="004B3F15">
              <w:rPr>
                <w:b w:val="0"/>
                <w:bCs w:val="0"/>
              </w:rPr>
              <w:t>Izglītības un zinātnes ministrijas</w:t>
            </w:r>
          </w:p>
          <w:p w14:paraId="7FC24244" w14:textId="204CE303" w:rsidR="00EF5800" w:rsidRPr="004B3F15" w:rsidRDefault="003F4AAD" w:rsidP="00B13744">
            <w:pPr>
              <w:pStyle w:val="naisnod"/>
              <w:spacing w:before="0" w:after="0" w:line="276" w:lineRule="auto"/>
              <w:jc w:val="left"/>
              <w:rPr>
                <w:b w:val="0"/>
                <w:bCs w:val="0"/>
              </w:rPr>
            </w:pPr>
            <w:r>
              <w:rPr>
                <w:b w:val="0"/>
                <w:bCs w:val="0"/>
              </w:rPr>
              <w:t xml:space="preserve">Izglītības </w:t>
            </w:r>
            <w:r w:rsidR="00B474AE" w:rsidRPr="004B3F15">
              <w:rPr>
                <w:b w:val="0"/>
                <w:bCs w:val="0"/>
              </w:rPr>
              <w:t>departaments</w:t>
            </w:r>
          </w:p>
        </w:tc>
      </w:tr>
      <w:tr w:rsidR="00EF5800" w:rsidRPr="004B3F15" w14:paraId="6CB8F952" w14:textId="77777777" w:rsidTr="00B474AE">
        <w:tc>
          <w:tcPr>
            <w:tcW w:w="4261" w:type="dxa"/>
            <w:tcBorders>
              <w:top w:val="single" w:sz="4" w:space="0" w:color="000000"/>
              <w:left w:val="single" w:sz="4" w:space="0" w:color="000000"/>
              <w:bottom w:val="single" w:sz="4" w:space="0" w:color="000000"/>
            </w:tcBorders>
            <w:shd w:val="clear" w:color="auto" w:fill="auto"/>
          </w:tcPr>
          <w:p w14:paraId="5A668A56" w14:textId="77777777" w:rsidR="00EF5800" w:rsidRPr="004B3F15" w:rsidRDefault="00EF5800" w:rsidP="00B13744">
            <w:pPr>
              <w:spacing w:line="276" w:lineRule="auto"/>
              <w:rPr>
                <w:lang w:val="lv-LV"/>
              </w:rPr>
            </w:pPr>
            <w:r w:rsidRPr="004B3F15">
              <w:rPr>
                <w:b/>
                <w:bCs/>
                <w:lang w:val="lv-LV"/>
              </w:rPr>
              <w:t>Kontaktpersona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2AD5F231" w14:textId="22F1F9BC" w:rsidR="00EF5800" w:rsidRPr="004B3F15" w:rsidRDefault="003F4AAD" w:rsidP="00B13744">
            <w:pPr>
              <w:pStyle w:val="naisnod"/>
              <w:spacing w:before="0" w:after="0" w:line="276" w:lineRule="auto"/>
              <w:jc w:val="left"/>
              <w:rPr>
                <w:b w:val="0"/>
              </w:rPr>
            </w:pPr>
            <w:r>
              <w:rPr>
                <w:b w:val="0"/>
              </w:rPr>
              <w:t>Dace Kalsone</w:t>
            </w:r>
            <w:r w:rsidR="00B41F02" w:rsidRPr="004B3F15">
              <w:rPr>
                <w:b w:val="0"/>
              </w:rPr>
              <w:t xml:space="preserve">, Izglītības un zinātnes ministrijas </w:t>
            </w:r>
            <w:r>
              <w:rPr>
                <w:b w:val="0"/>
              </w:rPr>
              <w:t>Izglītības departamenta direktores vietniece statistikas un finanšu plānošanas jomā</w:t>
            </w:r>
            <w:r w:rsidR="00B41F02" w:rsidRPr="004B3F15">
              <w:rPr>
                <w:b w:val="0"/>
              </w:rPr>
              <w:t xml:space="preserve"> </w:t>
            </w:r>
          </w:p>
        </w:tc>
      </w:tr>
      <w:tr w:rsidR="004B3F15" w:rsidRPr="00BE0F93" w14:paraId="250768F0" w14:textId="77777777" w:rsidTr="00B474AE">
        <w:tc>
          <w:tcPr>
            <w:tcW w:w="4261" w:type="dxa"/>
            <w:tcBorders>
              <w:top w:val="single" w:sz="4" w:space="0" w:color="000000"/>
              <w:left w:val="single" w:sz="4" w:space="0" w:color="000000"/>
              <w:bottom w:val="single" w:sz="4" w:space="0" w:color="000000"/>
            </w:tcBorders>
            <w:shd w:val="clear" w:color="auto" w:fill="auto"/>
          </w:tcPr>
          <w:p w14:paraId="0F41AF7C" w14:textId="77777777" w:rsidR="00EF5800" w:rsidRPr="004B3F15" w:rsidRDefault="007539EB" w:rsidP="00B13744">
            <w:pPr>
              <w:spacing w:line="276" w:lineRule="auto"/>
              <w:rPr>
                <w:lang w:val="lv-LV"/>
              </w:rPr>
            </w:pPr>
            <w:r w:rsidRPr="004B3F15">
              <w:rPr>
                <w:b/>
                <w:bCs/>
                <w:lang w:val="lv-LV"/>
              </w:rPr>
              <w:t>Kontaktinformācija</w:t>
            </w:r>
          </w:p>
        </w:tc>
        <w:tc>
          <w:tcPr>
            <w:tcW w:w="5208" w:type="dxa"/>
            <w:tcBorders>
              <w:top w:val="single" w:sz="4" w:space="0" w:color="000000"/>
              <w:left w:val="single" w:sz="4" w:space="0" w:color="000000"/>
              <w:bottom w:val="single" w:sz="4" w:space="0" w:color="000000"/>
              <w:right w:val="single" w:sz="4" w:space="0" w:color="000000"/>
            </w:tcBorders>
            <w:shd w:val="clear" w:color="auto" w:fill="auto"/>
          </w:tcPr>
          <w:p w14:paraId="65F5E2B7" w14:textId="5685CFA6" w:rsidR="00EF5800" w:rsidRPr="004B3F15" w:rsidRDefault="003F4AAD" w:rsidP="00B13744">
            <w:pPr>
              <w:spacing w:line="276" w:lineRule="auto"/>
              <w:rPr>
                <w:lang w:val="lv-LV"/>
              </w:rPr>
            </w:pPr>
            <w:r>
              <w:rPr>
                <w:lang w:val="lv-LV"/>
              </w:rPr>
              <w:t>67047931, 29170372</w:t>
            </w:r>
            <w:r w:rsidR="004B3F15" w:rsidRPr="004B3F15">
              <w:rPr>
                <w:lang w:val="lv-LV"/>
              </w:rPr>
              <w:t xml:space="preserve">, </w:t>
            </w:r>
            <w:r>
              <w:rPr>
                <w:lang w:val="lv-LV"/>
              </w:rPr>
              <w:t>dace.kalsone</w:t>
            </w:r>
            <w:r w:rsidR="004B3F15" w:rsidRPr="004B3F15">
              <w:rPr>
                <w:lang w:val="lv-LV"/>
              </w:rPr>
              <w:t>@izm.gov.lv</w:t>
            </w:r>
            <w:r w:rsidR="00950323">
              <w:rPr>
                <w:lang w:val="lv-LV"/>
              </w:rPr>
              <w:t xml:space="preserve"> </w:t>
            </w:r>
          </w:p>
        </w:tc>
      </w:tr>
    </w:tbl>
    <w:p w14:paraId="28518C97" w14:textId="77777777" w:rsidR="00EF5800" w:rsidRPr="004B3F15" w:rsidRDefault="00EF5800" w:rsidP="00AD472E">
      <w:pPr>
        <w:pStyle w:val="naisnod"/>
        <w:spacing w:before="0" w:after="0"/>
        <w:jc w:val="left"/>
      </w:pPr>
    </w:p>
    <w:p w14:paraId="65998A7C" w14:textId="69D48216" w:rsidR="00053E26" w:rsidRPr="00053E26" w:rsidRDefault="00EF5800" w:rsidP="00053E26">
      <w:pPr>
        <w:numPr>
          <w:ilvl w:val="0"/>
          <w:numId w:val="14"/>
        </w:numPr>
        <w:spacing w:line="276" w:lineRule="auto"/>
        <w:rPr>
          <w:lang w:val="lv-LV"/>
        </w:rPr>
      </w:pPr>
      <w:r w:rsidRPr="004B3F15">
        <w:rPr>
          <w:b/>
          <w:bCs/>
          <w:lang w:val="lv-LV"/>
        </w:rPr>
        <w:t>Iepirkuma priekšmeta nosaukums</w:t>
      </w:r>
      <w:r w:rsidRPr="00982F9C">
        <w:rPr>
          <w:b/>
          <w:lang w:val="lv-LV"/>
        </w:rPr>
        <w:t>:</w:t>
      </w:r>
      <w:r w:rsidRPr="004B3F15">
        <w:rPr>
          <w:lang w:val="lv-LV"/>
        </w:rPr>
        <w:t xml:space="preserve"> </w:t>
      </w:r>
    </w:p>
    <w:p w14:paraId="309BAF14" w14:textId="1E792A5C" w:rsidR="00EF5800" w:rsidRPr="005425E0" w:rsidRDefault="005A3E67" w:rsidP="00AA6500">
      <w:pPr>
        <w:spacing w:line="276" w:lineRule="auto"/>
        <w:ind w:left="360"/>
        <w:jc w:val="both"/>
        <w:rPr>
          <w:lang w:val="lv-LV"/>
        </w:rPr>
      </w:pPr>
      <w:r>
        <w:rPr>
          <w:lang w:val="lv-LV"/>
        </w:rPr>
        <w:t>Eksperta</w:t>
      </w:r>
      <w:r w:rsidR="003F4AAD" w:rsidRPr="003F4AAD">
        <w:rPr>
          <w:lang w:val="lv-LV"/>
        </w:rPr>
        <w:t xml:space="preserve"> pakalpojumi par jaunā pedagogu darba samaksas modeļa priekšlikumiem</w:t>
      </w:r>
      <w:r w:rsidR="00053E26" w:rsidRPr="005425E0">
        <w:rPr>
          <w:lang w:val="lv-LV"/>
        </w:rPr>
        <w:t>.</w:t>
      </w:r>
    </w:p>
    <w:p w14:paraId="5F986728" w14:textId="77777777" w:rsidR="00323112" w:rsidRPr="004B3F15" w:rsidRDefault="00323112" w:rsidP="00AB79C1">
      <w:pPr>
        <w:spacing w:line="276" w:lineRule="auto"/>
        <w:rPr>
          <w:lang w:val="lv-LV"/>
        </w:rPr>
      </w:pPr>
    </w:p>
    <w:p w14:paraId="74BA6203" w14:textId="77777777" w:rsidR="00982F9C" w:rsidRDefault="00323112" w:rsidP="00AB79C1">
      <w:pPr>
        <w:numPr>
          <w:ilvl w:val="0"/>
          <w:numId w:val="14"/>
        </w:numPr>
        <w:spacing w:line="276" w:lineRule="auto"/>
        <w:jc w:val="both"/>
        <w:rPr>
          <w:lang w:val="lv-LV"/>
        </w:rPr>
      </w:pPr>
      <w:r w:rsidRPr="004B3F15">
        <w:rPr>
          <w:b/>
          <w:lang w:val="lv-LV"/>
        </w:rPr>
        <w:t>Vispārīgie nosacījumi:</w:t>
      </w:r>
      <w:r w:rsidRPr="004B3F15">
        <w:rPr>
          <w:lang w:val="lv-LV"/>
        </w:rPr>
        <w:t xml:space="preserve"> </w:t>
      </w:r>
    </w:p>
    <w:p w14:paraId="187C48C8" w14:textId="38729A87" w:rsidR="003F4AAD" w:rsidRDefault="003F4AAD" w:rsidP="003F4AAD">
      <w:pPr>
        <w:spacing w:line="276" w:lineRule="auto"/>
        <w:ind w:left="360"/>
        <w:jc w:val="both"/>
        <w:rPr>
          <w:lang w:val="lv-LV"/>
        </w:rPr>
      </w:pPr>
      <w:r w:rsidRPr="003F4AAD">
        <w:rPr>
          <w:lang w:val="lv-LV"/>
        </w:rPr>
        <w:t xml:space="preserve">Atbilstoši Ministru kabineta 2020. gada 20. oktobra sēdes protokollēmumā (prot. Nr.62 32.§ 2. punkts) Izglītības un zinātnes ministrijai(turpmāk – </w:t>
      </w:r>
      <w:r w:rsidR="00771F31">
        <w:rPr>
          <w:lang w:val="lv-LV"/>
        </w:rPr>
        <w:t>Pasūtītājs</w:t>
      </w:r>
      <w:r w:rsidRPr="003F4AAD">
        <w:rPr>
          <w:lang w:val="lv-LV"/>
        </w:rPr>
        <w:t xml:space="preserve">) dotajam uzdevumam kontekstā ar informatīvā ziņojuma “Par kvalitatīvas vispārējās vidējās izglītības nodrošināšanas priekšnosacījumiem” 7. sadaļas 6. punktu ar </w:t>
      </w:r>
      <w:r w:rsidR="00771F31">
        <w:rPr>
          <w:lang w:val="lv-LV"/>
        </w:rPr>
        <w:t>Pasūtītāja</w:t>
      </w:r>
      <w:r w:rsidRPr="003F4AAD">
        <w:rPr>
          <w:lang w:val="lv-LV"/>
        </w:rPr>
        <w:t xml:space="preserve"> 2020. gada 19. oktobra rīkojumu Nr. 1-2e/20/326 “Par pedagogu darba samaksas pilnveides darba grupas izveidi”  tika izveidota darba grupa (turpmāk – darba grupa). </w:t>
      </w:r>
      <w:r>
        <w:rPr>
          <w:lang w:val="lv-LV"/>
        </w:rPr>
        <w:t xml:space="preserve">Plašāka informācija par darba </w:t>
      </w:r>
      <w:r>
        <w:rPr>
          <w:lang w:val="lv-LV"/>
        </w:rPr>
        <w:lastRenderedPageBreak/>
        <w:t xml:space="preserve">grupas darbu periodā no 2020. gada 29. oktobra līdz 2021. gada 23. aprīlim pieejama </w:t>
      </w:r>
      <w:r w:rsidR="00771F31">
        <w:rPr>
          <w:lang w:val="lv-LV"/>
        </w:rPr>
        <w:t xml:space="preserve">Pasūtītāja </w:t>
      </w:r>
      <w:r>
        <w:rPr>
          <w:lang w:val="lv-LV"/>
        </w:rPr>
        <w:t xml:space="preserve">tīmekļvietnē </w:t>
      </w:r>
      <w:hyperlink r:id="rId8" w:history="1">
        <w:r w:rsidRPr="003F4AAD">
          <w:rPr>
            <w:rStyle w:val="Hyperlink"/>
            <w:lang w:val="lv-LV"/>
          </w:rPr>
          <w:t>šeit</w:t>
        </w:r>
      </w:hyperlink>
      <w:r>
        <w:rPr>
          <w:lang w:val="lv-LV"/>
        </w:rPr>
        <w:t>.</w:t>
      </w:r>
    </w:p>
    <w:p w14:paraId="01C2CEEF" w14:textId="77777777" w:rsidR="003F4AAD" w:rsidRDefault="003F4AAD" w:rsidP="003F4AAD">
      <w:pPr>
        <w:spacing w:line="276" w:lineRule="auto"/>
        <w:ind w:left="360"/>
        <w:jc w:val="both"/>
        <w:rPr>
          <w:lang w:val="lv-LV"/>
        </w:rPr>
      </w:pPr>
    </w:p>
    <w:p w14:paraId="2D2E411C" w14:textId="341E5FCA" w:rsidR="003F4AAD" w:rsidRDefault="003F4AAD" w:rsidP="003F4AAD">
      <w:pPr>
        <w:spacing w:line="276" w:lineRule="auto"/>
        <w:ind w:left="360"/>
        <w:jc w:val="both"/>
        <w:rPr>
          <w:lang w:val="lv-LV"/>
        </w:rPr>
      </w:pPr>
      <w:r w:rsidRPr="003F4AAD">
        <w:rPr>
          <w:lang w:val="lv-LV"/>
        </w:rPr>
        <w:t xml:space="preserve">Viens no </w:t>
      </w:r>
      <w:r w:rsidR="00771F31">
        <w:rPr>
          <w:lang w:val="lv-LV"/>
        </w:rPr>
        <w:t xml:space="preserve">galvenajiem darba </w:t>
      </w:r>
      <w:r w:rsidRPr="003F4AAD">
        <w:rPr>
          <w:lang w:val="lv-LV"/>
        </w:rPr>
        <w:t>grupas uzdevumiem bija izstrādāt priekšlikumus jaunam pedagogu darba samaksas modelim un tā finansēšanas kārtībai vispārējās izglītības iestādēm. Darba grupas ietvaros sagatavoti priekšlikumi par pedagogu darba slodzes maiņu un priekšlikumi finansējuma aprēķina maiņai (turpmāk – modelis)  vispārējās izglītības iestādēm pedagogu darba samaksai.</w:t>
      </w:r>
    </w:p>
    <w:p w14:paraId="13DE9EB9" w14:textId="77777777" w:rsidR="003F4AAD" w:rsidRPr="003F4AAD" w:rsidRDefault="003F4AAD" w:rsidP="003F4AAD">
      <w:pPr>
        <w:spacing w:line="276" w:lineRule="auto"/>
        <w:ind w:left="360"/>
        <w:jc w:val="both"/>
        <w:rPr>
          <w:lang w:val="lv-LV"/>
        </w:rPr>
      </w:pPr>
    </w:p>
    <w:p w14:paraId="1C5F7C63" w14:textId="77777777" w:rsidR="00B738E9" w:rsidRDefault="00B738E9" w:rsidP="00B738E9">
      <w:pPr>
        <w:spacing w:line="276" w:lineRule="auto"/>
        <w:ind w:left="360"/>
        <w:jc w:val="both"/>
        <w:rPr>
          <w:lang w:val="lv-LV"/>
        </w:rPr>
      </w:pPr>
      <w:r w:rsidRPr="003F4AAD">
        <w:rPr>
          <w:lang w:val="lv-LV"/>
        </w:rPr>
        <w:t>Iepirkums ir nepieciešams, lai gūtu pārliecību, ka finansējuma aprēķina modelis atbilst darba grupas izvirzītajiem uzstādījumiem (pielikumā modeļa apraksts un modelis)</w:t>
      </w:r>
      <w:r>
        <w:rPr>
          <w:lang w:val="lv-LV"/>
        </w:rPr>
        <w:t>, kā arī saņemtu ekspertu viedokli par darba grupas priekšlikumu kvalitāti.</w:t>
      </w:r>
    </w:p>
    <w:p w14:paraId="3D86370B" w14:textId="77777777" w:rsidR="006F7272" w:rsidRPr="00914687" w:rsidRDefault="006F7272" w:rsidP="00B738E9">
      <w:pPr>
        <w:spacing w:line="276" w:lineRule="auto"/>
        <w:ind w:left="360"/>
        <w:jc w:val="both"/>
        <w:rPr>
          <w:lang w:val="lv-LV"/>
        </w:rPr>
      </w:pPr>
    </w:p>
    <w:p w14:paraId="69B7C000" w14:textId="7465A0FA" w:rsidR="00982F9C" w:rsidRPr="00982F9C" w:rsidRDefault="001A2D05" w:rsidP="00AB79C1">
      <w:pPr>
        <w:numPr>
          <w:ilvl w:val="0"/>
          <w:numId w:val="14"/>
        </w:numPr>
        <w:spacing w:line="276" w:lineRule="auto"/>
        <w:jc w:val="both"/>
        <w:rPr>
          <w:lang w:val="lv-LV"/>
        </w:rPr>
      </w:pPr>
      <w:r>
        <w:rPr>
          <w:b/>
          <w:lang w:val="lv-LV"/>
        </w:rPr>
        <w:t>Novērtējuma pamatuzdevums</w:t>
      </w:r>
      <w:r w:rsidR="00A84515">
        <w:rPr>
          <w:b/>
          <w:lang w:val="lv-LV"/>
        </w:rPr>
        <w:t xml:space="preserve">: </w:t>
      </w:r>
    </w:p>
    <w:p w14:paraId="75050FB0" w14:textId="3E806921" w:rsidR="00A84515" w:rsidRDefault="00B738E9" w:rsidP="00B738E9">
      <w:pPr>
        <w:spacing w:line="276" w:lineRule="auto"/>
        <w:ind w:left="360"/>
        <w:jc w:val="both"/>
        <w:rPr>
          <w:lang w:val="lv-LV"/>
        </w:rPr>
      </w:pPr>
      <w:r>
        <w:rPr>
          <w:lang w:val="lv-LV"/>
        </w:rPr>
        <w:t xml:space="preserve">Veikt </w:t>
      </w:r>
      <w:r w:rsidR="006F7272">
        <w:rPr>
          <w:lang w:val="lv-LV"/>
        </w:rPr>
        <w:t xml:space="preserve">izstrādātā </w:t>
      </w:r>
      <w:r>
        <w:rPr>
          <w:lang w:val="lv-LV"/>
        </w:rPr>
        <w:t>modeļa (MS Excel modelis) atbilstīb</w:t>
      </w:r>
      <w:r w:rsidR="006F7272">
        <w:rPr>
          <w:lang w:val="lv-LV"/>
        </w:rPr>
        <w:t>as novērtējumu darba grupas izvi</w:t>
      </w:r>
      <w:r>
        <w:rPr>
          <w:lang w:val="lv-LV"/>
        </w:rPr>
        <w:t>rzītajiem priekšlikumiem (modeļa apraksts)</w:t>
      </w:r>
      <w:r w:rsidR="006F7272">
        <w:rPr>
          <w:lang w:val="lv-LV"/>
        </w:rPr>
        <w:t>.</w:t>
      </w:r>
    </w:p>
    <w:p w14:paraId="60FA6F25" w14:textId="77777777" w:rsidR="006F7272" w:rsidRDefault="006F7272" w:rsidP="00B738E9">
      <w:pPr>
        <w:spacing w:line="276" w:lineRule="auto"/>
        <w:ind w:left="360"/>
        <w:jc w:val="both"/>
        <w:rPr>
          <w:lang w:val="lv-LV"/>
        </w:rPr>
      </w:pPr>
    </w:p>
    <w:p w14:paraId="5E37D59C" w14:textId="2A9537F9" w:rsidR="007F0605" w:rsidRDefault="001A2D05" w:rsidP="00AB79C1">
      <w:pPr>
        <w:numPr>
          <w:ilvl w:val="0"/>
          <w:numId w:val="14"/>
        </w:numPr>
        <w:spacing w:line="276" w:lineRule="auto"/>
        <w:jc w:val="both"/>
        <w:rPr>
          <w:b/>
          <w:lang w:val="lv-LV"/>
        </w:rPr>
      </w:pPr>
      <w:r>
        <w:rPr>
          <w:b/>
          <w:lang w:val="lv-LV"/>
        </w:rPr>
        <w:t>Novērtējuma apakšuzdevumi:</w:t>
      </w:r>
      <w:r w:rsidR="007F0605">
        <w:rPr>
          <w:b/>
          <w:lang w:val="lv-LV"/>
        </w:rPr>
        <w:t xml:space="preserve"> </w:t>
      </w:r>
    </w:p>
    <w:p w14:paraId="20A9F623" w14:textId="63B6984D" w:rsidR="00DC12F9" w:rsidRDefault="006F7272" w:rsidP="00AB79C1">
      <w:pPr>
        <w:numPr>
          <w:ilvl w:val="1"/>
          <w:numId w:val="14"/>
        </w:numPr>
        <w:spacing w:line="276" w:lineRule="auto"/>
        <w:jc w:val="both"/>
        <w:rPr>
          <w:lang w:val="lv-LV"/>
        </w:rPr>
      </w:pPr>
      <w:r>
        <w:rPr>
          <w:lang w:val="lv-LV"/>
        </w:rPr>
        <w:t xml:space="preserve">Veikt </w:t>
      </w:r>
      <w:r w:rsidR="00BA6687" w:rsidRPr="00BA6687">
        <w:rPr>
          <w:lang w:val="lv-LV"/>
        </w:rPr>
        <w:t>2016. gada 5. jūlija M</w:t>
      </w:r>
      <w:r w:rsidR="00BA6687">
        <w:rPr>
          <w:lang w:val="lv-LV"/>
        </w:rPr>
        <w:t>inistru kabineta noteikumu</w:t>
      </w:r>
      <w:r w:rsidR="00BA6687" w:rsidRPr="00BA6687">
        <w:rPr>
          <w:lang w:val="lv-LV"/>
        </w:rPr>
        <w:t xml:space="preserve"> Nr. 447 "Par valsts budžeta mērķdotāciju pedagogu darba samaksai pašvaldību vispārējās izglītības iestādēs un valsts augstskolu vispārējās vidējās izglītības iestādēs"</w:t>
      </w:r>
      <w:r>
        <w:rPr>
          <w:rStyle w:val="FootnoteReference"/>
          <w:lang w:val="lv-LV"/>
        </w:rPr>
        <w:footnoteReference w:id="1"/>
      </w:r>
      <w:r w:rsidR="00DC12F9">
        <w:rPr>
          <w:lang w:val="lv-LV"/>
        </w:rPr>
        <w:t xml:space="preserve"> </w:t>
      </w:r>
      <w:r w:rsidR="00BA6687">
        <w:rPr>
          <w:lang w:val="lv-LV"/>
        </w:rPr>
        <w:t xml:space="preserve">(turpmāk – MK noteikumi Nr. 447) </w:t>
      </w:r>
      <w:r>
        <w:rPr>
          <w:lang w:val="lv-LV"/>
        </w:rPr>
        <w:t>SVID analīzi.</w:t>
      </w:r>
    </w:p>
    <w:p w14:paraId="23414DFD" w14:textId="77777777" w:rsidR="006F7272" w:rsidRDefault="006F7272" w:rsidP="006F7272">
      <w:pPr>
        <w:numPr>
          <w:ilvl w:val="1"/>
          <w:numId w:val="14"/>
        </w:numPr>
        <w:spacing w:line="276" w:lineRule="auto"/>
        <w:jc w:val="both"/>
        <w:rPr>
          <w:lang w:val="lv-LV"/>
        </w:rPr>
      </w:pPr>
      <w:r>
        <w:rPr>
          <w:lang w:val="lv-LV"/>
        </w:rPr>
        <w:t>Novērtēt, vai jaunais modelis risina 4.1.punktā veiktās SVID analīzes problēmas.</w:t>
      </w:r>
    </w:p>
    <w:p w14:paraId="5F4DFACB" w14:textId="396952E9" w:rsidR="006F7272" w:rsidRPr="006F7272" w:rsidRDefault="006F7272" w:rsidP="006F7272">
      <w:pPr>
        <w:numPr>
          <w:ilvl w:val="1"/>
          <w:numId w:val="14"/>
        </w:numPr>
        <w:spacing w:line="276" w:lineRule="auto"/>
        <w:jc w:val="both"/>
        <w:rPr>
          <w:lang w:val="lv-LV"/>
        </w:rPr>
      </w:pPr>
      <w:r>
        <w:rPr>
          <w:lang w:val="lv-LV"/>
        </w:rPr>
        <w:t>Veikt esošā un jaunā modeļa fiskālās ietekmes salīdzinājumu 2022.-2024.gadam.</w:t>
      </w:r>
    </w:p>
    <w:p w14:paraId="33A7D6DB" w14:textId="1254C4AF" w:rsidR="00B738E9" w:rsidRPr="00DA1F17" w:rsidRDefault="00B738E9" w:rsidP="006F7272">
      <w:pPr>
        <w:spacing w:line="276" w:lineRule="auto"/>
        <w:jc w:val="both"/>
        <w:rPr>
          <w:lang w:val="lv-LV"/>
        </w:rPr>
      </w:pPr>
    </w:p>
    <w:p w14:paraId="4C58B9F7" w14:textId="09AF4C79" w:rsidR="00B738E9" w:rsidRPr="00B738E9" w:rsidRDefault="00B738E9" w:rsidP="00AB79C1">
      <w:pPr>
        <w:numPr>
          <w:ilvl w:val="0"/>
          <w:numId w:val="14"/>
        </w:numPr>
        <w:spacing w:line="276" w:lineRule="auto"/>
        <w:jc w:val="both"/>
        <w:rPr>
          <w:lang w:val="lv-LV"/>
        </w:rPr>
      </w:pPr>
      <w:r>
        <w:rPr>
          <w:b/>
          <w:lang w:val="lv-LV"/>
        </w:rPr>
        <w:t>Sasniedzamie rezultāti</w:t>
      </w:r>
      <w:r w:rsidR="00A1055C">
        <w:rPr>
          <w:b/>
          <w:lang w:val="lv-LV"/>
        </w:rPr>
        <w:t>:</w:t>
      </w:r>
    </w:p>
    <w:p w14:paraId="5A7D7188" w14:textId="7436FA9D" w:rsidR="00B738E9" w:rsidRDefault="00A1055C" w:rsidP="00B738E9">
      <w:pPr>
        <w:numPr>
          <w:ilvl w:val="1"/>
          <w:numId w:val="14"/>
        </w:numPr>
        <w:spacing w:line="276" w:lineRule="auto"/>
        <w:jc w:val="both"/>
        <w:rPr>
          <w:lang w:val="lv-LV"/>
        </w:rPr>
      </w:pPr>
      <w:r>
        <w:rPr>
          <w:lang w:val="lv-LV"/>
        </w:rPr>
        <w:t>Pirmās nedēļas noslēgumā</w:t>
      </w:r>
      <w:r w:rsidR="00B738E9">
        <w:rPr>
          <w:lang w:val="lv-LV"/>
        </w:rPr>
        <w:t xml:space="preserve"> pēc līguma noslēgšanas iesniegt</w:t>
      </w:r>
      <w:r>
        <w:rPr>
          <w:lang w:val="lv-LV"/>
        </w:rPr>
        <w:t xml:space="preserve"> </w:t>
      </w:r>
      <w:r w:rsidR="00771F31">
        <w:rPr>
          <w:lang w:val="lv-LV"/>
        </w:rPr>
        <w:t>Pasūtītājam</w:t>
      </w:r>
      <w:r w:rsidR="00BA6687">
        <w:rPr>
          <w:lang w:val="lv-LV"/>
        </w:rPr>
        <w:t xml:space="preserve"> </w:t>
      </w:r>
      <w:r>
        <w:rPr>
          <w:lang w:val="lv-LV"/>
        </w:rPr>
        <w:t>MS Word formātā</w:t>
      </w:r>
      <w:r w:rsidR="00B738E9">
        <w:rPr>
          <w:lang w:val="lv-LV"/>
        </w:rPr>
        <w:t xml:space="preserve"> </w:t>
      </w:r>
      <w:r w:rsidR="00BA6687">
        <w:rPr>
          <w:lang w:val="lv-LV"/>
        </w:rPr>
        <w:t>MK noteikumu Nr. 447 SVID analīzi. Nodevuma iesniegšanas dienā Puses organizē attālināto tikšanos, lai diskutētu iesniegto SVID analīzi.</w:t>
      </w:r>
    </w:p>
    <w:p w14:paraId="7600BDE1" w14:textId="22573470" w:rsidR="00BA6687" w:rsidRDefault="00BA6687" w:rsidP="00B738E9">
      <w:pPr>
        <w:numPr>
          <w:ilvl w:val="1"/>
          <w:numId w:val="14"/>
        </w:numPr>
        <w:spacing w:line="276" w:lineRule="auto"/>
        <w:jc w:val="both"/>
        <w:rPr>
          <w:lang w:val="lv-LV"/>
        </w:rPr>
      </w:pPr>
      <w:r>
        <w:rPr>
          <w:lang w:val="lv-LV"/>
        </w:rPr>
        <w:t xml:space="preserve">Otrās </w:t>
      </w:r>
      <w:r w:rsidR="00A1055C">
        <w:rPr>
          <w:lang w:val="lv-LV"/>
        </w:rPr>
        <w:t xml:space="preserve">nedēļas noslēgumā </w:t>
      </w:r>
      <w:r w:rsidR="00B738E9">
        <w:rPr>
          <w:lang w:val="lv-LV"/>
        </w:rPr>
        <w:t xml:space="preserve">pēc līguma noslēgšanas </w:t>
      </w:r>
      <w:r>
        <w:rPr>
          <w:lang w:val="lv-LV"/>
        </w:rPr>
        <w:t xml:space="preserve">iesniegt </w:t>
      </w:r>
      <w:r w:rsidR="00771F31">
        <w:rPr>
          <w:lang w:val="lv-LV"/>
        </w:rPr>
        <w:t>Pasūtītājam</w:t>
      </w:r>
      <w:r>
        <w:rPr>
          <w:lang w:val="lv-LV"/>
        </w:rPr>
        <w:t xml:space="preserve"> MS Word formātā jaunā modeļa novērtējumu pret 5.1.punktā minēto un veikto SVID analīzi. Nodevuma iesniegšanas dienā Puses organizē tikšanos, lai uzklausītu Pasūtītāja iesniegto ietekmes novērtējumu, kā arī vienotos par nepieciešamajiem scenārijiem fiskālās ietekmes novērtējumam.</w:t>
      </w:r>
    </w:p>
    <w:p w14:paraId="0FCD44C4" w14:textId="777E0E93" w:rsidR="00B738E9" w:rsidRDefault="00BA6687" w:rsidP="00B738E9">
      <w:pPr>
        <w:numPr>
          <w:ilvl w:val="1"/>
          <w:numId w:val="14"/>
        </w:numPr>
        <w:spacing w:line="276" w:lineRule="auto"/>
        <w:jc w:val="both"/>
        <w:rPr>
          <w:lang w:val="lv-LV"/>
        </w:rPr>
      </w:pPr>
      <w:r>
        <w:rPr>
          <w:lang w:val="lv-LV"/>
        </w:rPr>
        <w:t xml:space="preserve">Trešās nedēļas noslēgumā pēc līguma noslēgšanas iesniegt </w:t>
      </w:r>
      <w:r w:rsidR="00771F31">
        <w:rPr>
          <w:lang w:val="lv-LV"/>
        </w:rPr>
        <w:t>Pasūtītājam</w:t>
      </w:r>
      <w:r>
        <w:rPr>
          <w:lang w:val="lv-LV"/>
        </w:rPr>
        <w:t xml:space="preserve"> </w:t>
      </w:r>
      <w:r w:rsidR="00B738E9">
        <w:rPr>
          <w:lang w:val="lv-LV"/>
        </w:rPr>
        <w:t xml:space="preserve">MS Excel </w:t>
      </w:r>
      <w:r>
        <w:rPr>
          <w:lang w:val="lv-LV"/>
        </w:rPr>
        <w:t xml:space="preserve">formātā, t.sk. ar aprēķina formulām, jaunā modeļa fiskālās ietekmes novērtējumu 2022.-2024.gadam, piedāvājot ar ministriju diskutēto scenāriju pie 5.2.punkta nodevuma fiskālo ietekmju salīdzinājumu. </w:t>
      </w:r>
    </w:p>
    <w:p w14:paraId="3234C286" w14:textId="67120B75" w:rsidR="00A1055C" w:rsidRDefault="00A1055C" w:rsidP="00B738E9">
      <w:pPr>
        <w:numPr>
          <w:ilvl w:val="1"/>
          <w:numId w:val="14"/>
        </w:numPr>
        <w:spacing w:line="276" w:lineRule="auto"/>
        <w:jc w:val="both"/>
        <w:rPr>
          <w:lang w:val="lv-LV"/>
        </w:rPr>
      </w:pPr>
      <w:r>
        <w:rPr>
          <w:lang w:val="lv-LV"/>
        </w:rPr>
        <w:t xml:space="preserve">Ceturtās nedēļas noslēgumā pēc līguma noslēgšanas iesniegt </w:t>
      </w:r>
      <w:r w:rsidR="00771F31">
        <w:rPr>
          <w:lang w:val="lv-LV"/>
        </w:rPr>
        <w:t xml:space="preserve">Pasūtītājam </w:t>
      </w:r>
      <w:r>
        <w:rPr>
          <w:lang w:val="lv-LV"/>
        </w:rPr>
        <w:t xml:space="preserve">novērtējuma ziņojumu </w:t>
      </w:r>
      <w:r w:rsidR="00BA6687">
        <w:rPr>
          <w:lang w:val="lv-LV"/>
        </w:rPr>
        <w:t>par jauno pedagogu darba samaks</w:t>
      </w:r>
      <w:r>
        <w:rPr>
          <w:lang w:val="lv-LV"/>
        </w:rPr>
        <w:t>as modeli, iekļaujot 5.1., 5.2. un 5.3. apakšpunktos noteiktos nodevumus.</w:t>
      </w:r>
    </w:p>
    <w:p w14:paraId="6E5C499A" w14:textId="5D4299BE" w:rsidR="00A1055C" w:rsidRPr="00A1055C" w:rsidRDefault="00A1055C" w:rsidP="00A1055C">
      <w:pPr>
        <w:numPr>
          <w:ilvl w:val="0"/>
          <w:numId w:val="14"/>
        </w:numPr>
        <w:spacing w:line="276" w:lineRule="auto"/>
        <w:jc w:val="both"/>
        <w:rPr>
          <w:b/>
          <w:bCs/>
          <w:lang w:val="lv-LV"/>
        </w:rPr>
      </w:pPr>
      <w:r w:rsidRPr="00A1055C">
        <w:rPr>
          <w:b/>
          <w:bCs/>
          <w:lang w:val="lv-LV"/>
        </w:rPr>
        <w:t>Uzņēmuma līgums:</w:t>
      </w:r>
    </w:p>
    <w:p w14:paraId="5F10F8F2" w14:textId="294BC92D" w:rsidR="00A1055C" w:rsidRDefault="00A1055C" w:rsidP="00A1055C">
      <w:pPr>
        <w:numPr>
          <w:ilvl w:val="1"/>
          <w:numId w:val="14"/>
        </w:numPr>
        <w:spacing w:line="276" w:lineRule="auto"/>
        <w:jc w:val="both"/>
        <w:rPr>
          <w:lang w:val="lv-LV"/>
        </w:rPr>
      </w:pPr>
      <w:r>
        <w:rPr>
          <w:lang w:val="lv-LV"/>
        </w:rPr>
        <w:t>Ar Pretendentu, kurš ir atzīts par uzvarētāju, Pasūtītājs slēdz Uzņēmuma līgumu.</w:t>
      </w:r>
    </w:p>
    <w:p w14:paraId="5B7194F1" w14:textId="38D50DA1" w:rsidR="00A1055C" w:rsidRPr="00B738E9" w:rsidRDefault="00A1055C" w:rsidP="00A1055C">
      <w:pPr>
        <w:numPr>
          <w:ilvl w:val="1"/>
          <w:numId w:val="14"/>
        </w:numPr>
        <w:spacing w:line="276" w:lineRule="auto"/>
        <w:jc w:val="both"/>
        <w:rPr>
          <w:lang w:val="lv-LV"/>
        </w:rPr>
      </w:pPr>
      <w:r>
        <w:rPr>
          <w:lang w:val="lv-LV"/>
        </w:rPr>
        <w:lastRenderedPageBreak/>
        <w:t xml:space="preserve">Līgums un tā grozījumi (ja tādi tiks veikti) tiks slēgti ar vienu Pretendentu par līguma summu līdz </w:t>
      </w:r>
      <w:r w:rsidR="005A3E67">
        <w:rPr>
          <w:lang w:val="lv-LV"/>
        </w:rPr>
        <w:t>9999,00</w:t>
      </w:r>
      <w:r>
        <w:rPr>
          <w:lang w:val="lv-LV"/>
        </w:rPr>
        <w:t xml:space="preserve"> </w:t>
      </w:r>
      <w:r>
        <w:rPr>
          <w:i/>
          <w:iCs/>
          <w:lang w:val="lv-LV"/>
        </w:rPr>
        <w:t xml:space="preserve">euro </w:t>
      </w:r>
      <w:r>
        <w:rPr>
          <w:lang w:val="lv-LV"/>
        </w:rPr>
        <w:t xml:space="preserve">(juridisko personu gadījumā – </w:t>
      </w:r>
      <w:r>
        <w:rPr>
          <w:i/>
          <w:iCs/>
          <w:lang w:val="lv-LV"/>
        </w:rPr>
        <w:t xml:space="preserve">euro </w:t>
      </w:r>
      <w:r>
        <w:rPr>
          <w:lang w:val="lv-LV"/>
        </w:rPr>
        <w:t xml:space="preserve">bez PVN vai fizisko personu gadījumā – </w:t>
      </w:r>
      <w:r>
        <w:rPr>
          <w:i/>
          <w:iCs/>
          <w:lang w:val="lv-LV"/>
        </w:rPr>
        <w:t xml:space="preserve">euro </w:t>
      </w:r>
      <w:r>
        <w:rPr>
          <w:lang w:val="lv-LV"/>
        </w:rPr>
        <w:t>bruto atalgojuma apmērs).</w:t>
      </w:r>
    </w:p>
    <w:p w14:paraId="21280C15" w14:textId="77777777" w:rsidR="00043A4E" w:rsidRPr="00043A4E" w:rsidRDefault="00043A4E" w:rsidP="00AB79C1">
      <w:pPr>
        <w:numPr>
          <w:ilvl w:val="0"/>
          <w:numId w:val="14"/>
        </w:numPr>
        <w:spacing w:line="276" w:lineRule="auto"/>
        <w:jc w:val="both"/>
        <w:rPr>
          <w:b/>
          <w:lang w:val="lv-LV"/>
        </w:rPr>
      </w:pPr>
      <w:r w:rsidRPr="00043A4E">
        <w:rPr>
          <w:b/>
          <w:lang w:val="lv-LV"/>
        </w:rPr>
        <w:t xml:space="preserve">Līguma izpildes termiņš un apmaksa: </w:t>
      </w:r>
      <w:r w:rsidR="008A4C5D">
        <w:rPr>
          <w:b/>
          <w:lang w:val="lv-LV"/>
        </w:rPr>
        <w:t xml:space="preserve"> </w:t>
      </w:r>
    </w:p>
    <w:p w14:paraId="18644CC9" w14:textId="44E77CB4" w:rsidR="00043A4E" w:rsidRDefault="00D46C7D" w:rsidP="00AB79C1">
      <w:pPr>
        <w:numPr>
          <w:ilvl w:val="1"/>
          <w:numId w:val="14"/>
        </w:numPr>
        <w:spacing w:line="276" w:lineRule="auto"/>
        <w:jc w:val="both"/>
        <w:rPr>
          <w:lang w:val="lv-LV"/>
        </w:rPr>
      </w:pPr>
      <w:r>
        <w:rPr>
          <w:lang w:val="lv-LV"/>
        </w:rPr>
        <w:t xml:space="preserve">Līguma izpildes termiņš: </w:t>
      </w:r>
      <w:r w:rsidR="00A1055C">
        <w:rPr>
          <w:lang w:val="lv-LV"/>
        </w:rPr>
        <w:t>30</w:t>
      </w:r>
      <w:r w:rsidR="00043A4E">
        <w:rPr>
          <w:lang w:val="lv-LV"/>
        </w:rPr>
        <w:t xml:space="preserve"> dienu laikā pēc līguma </w:t>
      </w:r>
      <w:r w:rsidR="0009753C">
        <w:rPr>
          <w:lang w:val="lv-LV"/>
        </w:rPr>
        <w:t xml:space="preserve">abpusējas </w:t>
      </w:r>
      <w:r w:rsidR="00043A4E">
        <w:rPr>
          <w:lang w:val="lv-LV"/>
        </w:rPr>
        <w:t>parakstīšanas</w:t>
      </w:r>
      <w:r w:rsidR="00AD472E">
        <w:rPr>
          <w:lang w:val="lv-LV"/>
        </w:rPr>
        <w:t>.</w:t>
      </w:r>
    </w:p>
    <w:p w14:paraId="44F57EC5" w14:textId="7AA47033" w:rsidR="00EC65CF" w:rsidRDefault="00771F31" w:rsidP="00AB79C1">
      <w:pPr>
        <w:numPr>
          <w:ilvl w:val="1"/>
          <w:numId w:val="14"/>
        </w:numPr>
        <w:spacing w:line="276" w:lineRule="auto"/>
        <w:jc w:val="both"/>
        <w:rPr>
          <w:lang w:val="lv-LV"/>
        </w:rPr>
      </w:pPr>
      <w:r>
        <w:rPr>
          <w:lang w:val="lv-LV"/>
        </w:rPr>
        <w:t xml:space="preserve">Pēc līguma noslēgšanas </w:t>
      </w:r>
      <w:r w:rsidR="00EC65CF">
        <w:rPr>
          <w:lang w:val="lv-LV"/>
        </w:rPr>
        <w:t xml:space="preserve">Pasūtītājs </w:t>
      </w:r>
      <w:r>
        <w:rPr>
          <w:lang w:val="lv-LV"/>
        </w:rPr>
        <w:t xml:space="preserve">nekavējoties </w:t>
      </w:r>
      <w:r w:rsidR="00EC65CF">
        <w:rPr>
          <w:lang w:val="lv-LV"/>
        </w:rPr>
        <w:t>nosūta Izpildītājam jaunā modeļa aprakstu MS Word formātā un modeli MS Excel formātā.</w:t>
      </w:r>
    </w:p>
    <w:p w14:paraId="5AE2759D" w14:textId="124D97A9" w:rsidR="00645B94" w:rsidRDefault="007C1051" w:rsidP="00D6508F">
      <w:pPr>
        <w:numPr>
          <w:ilvl w:val="1"/>
          <w:numId w:val="14"/>
        </w:numPr>
        <w:spacing w:line="276" w:lineRule="auto"/>
        <w:jc w:val="both"/>
        <w:rPr>
          <w:lang w:val="lv-LV"/>
        </w:rPr>
      </w:pPr>
      <w:r>
        <w:rPr>
          <w:lang w:val="lv-LV"/>
        </w:rPr>
        <w:t xml:space="preserve">Apmaksas kārtība: </w:t>
      </w:r>
      <w:r w:rsidR="00A1055C">
        <w:rPr>
          <w:lang w:val="lv-LV"/>
        </w:rPr>
        <w:t xml:space="preserve">līgumcena tiek maksāta </w:t>
      </w:r>
      <w:r w:rsidR="00771F31">
        <w:rPr>
          <w:lang w:val="lv-LV"/>
        </w:rPr>
        <w:t>Pasūtītājam,</w:t>
      </w:r>
      <w:r w:rsidR="00A1055C">
        <w:rPr>
          <w:lang w:val="lv-LV"/>
        </w:rPr>
        <w:t xml:space="preserve"> saņemot visus 5.punktā noteiktos rezultātus</w:t>
      </w:r>
      <w:r w:rsidR="00D6508F" w:rsidRPr="00D6508F">
        <w:rPr>
          <w:lang w:val="lv-LV"/>
        </w:rPr>
        <w:t>, kas ir apstiprināt</w:t>
      </w:r>
      <w:r w:rsidR="00A1055C">
        <w:rPr>
          <w:lang w:val="lv-LV"/>
        </w:rPr>
        <w:t>i</w:t>
      </w:r>
      <w:r w:rsidR="00D6508F" w:rsidRPr="00D6508F">
        <w:rPr>
          <w:lang w:val="lv-LV"/>
        </w:rPr>
        <w:t xml:space="preserve"> ar abpusēji parakstītu pieņemšanas–nodošanas aktu.</w:t>
      </w:r>
    </w:p>
    <w:p w14:paraId="6408962C" w14:textId="5D69B752" w:rsidR="00A1055C" w:rsidRDefault="00A1055C" w:rsidP="00A1055C">
      <w:pPr>
        <w:numPr>
          <w:ilvl w:val="0"/>
          <w:numId w:val="14"/>
        </w:numPr>
        <w:spacing w:line="276" w:lineRule="auto"/>
        <w:jc w:val="both"/>
        <w:rPr>
          <w:b/>
          <w:bCs/>
          <w:lang w:val="lv-LV"/>
        </w:rPr>
      </w:pPr>
      <w:r w:rsidRPr="00A1055C">
        <w:rPr>
          <w:b/>
          <w:bCs/>
          <w:lang w:val="lv-LV"/>
        </w:rPr>
        <w:t>Prasības Pretendentam:</w:t>
      </w:r>
    </w:p>
    <w:p w14:paraId="72E011C0" w14:textId="7605BB33" w:rsidR="00B05056" w:rsidRDefault="00B05056" w:rsidP="00A1055C">
      <w:pPr>
        <w:numPr>
          <w:ilvl w:val="1"/>
          <w:numId w:val="14"/>
        </w:numPr>
        <w:spacing w:line="276" w:lineRule="auto"/>
        <w:jc w:val="both"/>
        <w:rPr>
          <w:lang w:val="lv-LV"/>
        </w:rPr>
      </w:pPr>
      <w:r w:rsidRPr="00B05056">
        <w:rPr>
          <w:lang w:val="lv-LV"/>
        </w:rPr>
        <w:t>Pretendents piedāvā ekspertu vai ekspertus atbilstoši noteiktajām tehniskajām un profesionālajām spējām</w:t>
      </w:r>
      <w:r>
        <w:rPr>
          <w:lang w:val="lv-LV"/>
        </w:rPr>
        <w:t>:</w:t>
      </w:r>
    </w:p>
    <w:p w14:paraId="4C5B9887" w14:textId="3FCAD90F" w:rsidR="00B05056" w:rsidRDefault="00B05056" w:rsidP="00B05056">
      <w:pPr>
        <w:numPr>
          <w:ilvl w:val="2"/>
          <w:numId w:val="14"/>
        </w:numPr>
        <w:spacing w:line="276" w:lineRule="auto"/>
        <w:jc w:val="both"/>
        <w:rPr>
          <w:lang w:val="lv-LV"/>
        </w:rPr>
      </w:pPr>
      <w:r w:rsidRPr="00B05056">
        <w:rPr>
          <w:lang w:val="lv-LV"/>
        </w:rPr>
        <w:t>Augstākā akadēmiskā vai otrā līmeņa profesionālā augstākā izglītība ekonomikā, finan</w:t>
      </w:r>
      <w:r>
        <w:rPr>
          <w:lang w:val="lv-LV"/>
        </w:rPr>
        <w:t>sēs, matemātikā.</w:t>
      </w:r>
    </w:p>
    <w:p w14:paraId="3BAABE19" w14:textId="6A05FE1C" w:rsidR="00A1055C" w:rsidRDefault="00B05056" w:rsidP="00B05056">
      <w:pPr>
        <w:numPr>
          <w:ilvl w:val="2"/>
          <w:numId w:val="14"/>
        </w:numPr>
        <w:spacing w:line="276" w:lineRule="auto"/>
        <w:jc w:val="both"/>
        <w:rPr>
          <w:lang w:val="lv-LV"/>
        </w:rPr>
      </w:pPr>
      <w:r w:rsidRPr="00B05056">
        <w:rPr>
          <w:lang w:val="lv-LV"/>
        </w:rPr>
        <w:t>Priekšrocība būs Pretendentam, kura ekspert</w:t>
      </w:r>
      <w:r w:rsidR="00565041">
        <w:rPr>
          <w:lang w:val="lv-LV"/>
        </w:rPr>
        <w:t>i</w:t>
      </w:r>
      <w:r w:rsidRPr="00B05056">
        <w:rPr>
          <w:lang w:val="lv-LV"/>
        </w:rPr>
        <w:t xml:space="preserve"> iepriekšējo piecu gadu laikā ir </w:t>
      </w:r>
      <w:r>
        <w:rPr>
          <w:lang w:val="lv-LV"/>
        </w:rPr>
        <w:t xml:space="preserve">veikuši </w:t>
      </w:r>
      <w:r w:rsidR="00E8419B">
        <w:rPr>
          <w:lang w:val="lv-LV"/>
        </w:rPr>
        <w:t>finanšu aprēķinus vispārējā izglītībā un var iesniegt šo aprēķinu rezultātus, t.sk. šos aprēķinus apliecinošas publikācijas.</w:t>
      </w:r>
    </w:p>
    <w:p w14:paraId="708D5448" w14:textId="77777777" w:rsidR="00B05056" w:rsidRPr="00B05056" w:rsidRDefault="00B05056" w:rsidP="00B05056">
      <w:pPr>
        <w:numPr>
          <w:ilvl w:val="0"/>
          <w:numId w:val="14"/>
        </w:numPr>
        <w:spacing w:line="276" w:lineRule="auto"/>
        <w:jc w:val="both"/>
        <w:rPr>
          <w:b/>
          <w:lang w:val="lv-LV"/>
        </w:rPr>
      </w:pPr>
      <w:r w:rsidRPr="00B05056">
        <w:rPr>
          <w:b/>
          <w:lang w:val="lv-LV"/>
        </w:rPr>
        <w:t>Iesniedzamie dokumenti:</w:t>
      </w:r>
    </w:p>
    <w:p w14:paraId="5D59C9B8" w14:textId="6950E053" w:rsidR="00B05056" w:rsidRPr="00B05056" w:rsidRDefault="00B05056" w:rsidP="00B05056">
      <w:pPr>
        <w:numPr>
          <w:ilvl w:val="1"/>
          <w:numId w:val="14"/>
        </w:numPr>
        <w:spacing w:line="276" w:lineRule="auto"/>
        <w:jc w:val="both"/>
        <w:rPr>
          <w:lang w:val="lv-LV"/>
        </w:rPr>
      </w:pPr>
      <w:r w:rsidRPr="00B05056">
        <w:rPr>
          <w:lang w:val="lv-LV"/>
        </w:rPr>
        <w:t>Pretendenta pieteikums-</w:t>
      </w:r>
      <w:r w:rsidR="005A3E67">
        <w:rPr>
          <w:lang w:val="lv-LV"/>
        </w:rPr>
        <w:t>apliecinājums dalībai iepirkumā.</w:t>
      </w:r>
    </w:p>
    <w:p w14:paraId="4AB04736" w14:textId="73DFFB9B" w:rsidR="00B05056" w:rsidRDefault="00B05056" w:rsidP="00B05056">
      <w:pPr>
        <w:numPr>
          <w:ilvl w:val="1"/>
          <w:numId w:val="14"/>
        </w:numPr>
        <w:spacing w:line="276" w:lineRule="auto"/>
        <w:jc w:val="both"/>
        <w:rPr>
          <w:lang w:val="lv-LV"/>
        </w:rPr>
      </w:pPr>
      <w:r w:rsidRPr="00B05056">
        <w:rPr>
          <w:lang w:val="lv-LV"/>
        </w:rPr>
        <w:t xml:space="preserve">Eksperta Curriculum Vitae, kas apliecina Pretendenta atbilstību </w:t>
      </w:r>
      <w:r>
        <w:rPr>
          <w:lang w:val="lv-LV"/>
        </w:rPr>
        <w:t>8</w:t>
      </w:r>
      <w:r w:rsidRPr="00B05056">
        <w:rPr>
          <w:lang w:val="lv-LV"/>
        </w:rPr>
        <w:t>.1</w:t>
      </w:r>
      <w:r>
        <w:rPr>
          <w:lang w:val="lv-LV"/>
        </w:rPr>
        <w:t>.1</w:t>
      </w:r>
      <w:r w:rsidRPr="00B05056">
        <w:rPr>
          <w:lang w:val="lv-LV"/>
        </w:rPr>
        <w:t xml:space="preserve">. </w:t>
      </w:r>
      <w:r>
        <w:rPr>
          <w:lang w:val="lv-LV"/>
        </w:rPr>
        <w:t>apakš</w:t>
      </w:r>
      <w:r w:rsidRPr="00B05056">
        <w:rPr>
          <w:lang w:val="lv-LV"/>
        </w:rPr>
        <w:t>punktā minētajām prasībām un izglītības diplomu kopijas.</w:t>
      </w:r>
    </w:p>
    <w:p w14:paraId="09BE5ED4" w14:textId="397880C5" w:rsidR="00B05056" w:rsidRPr="00B05056" w:rsidRDefault="00B05056" w:rsidP="00B05056">
      <w:pPr>
        <w:numPr>
          <w:ilvl w:val="1"/>
          <w:numId w:val="14"/>
        </w:numPr>
        <w:spacing w:line="276" w:lineRule="auto"/>
        <w:jc w:val="both"/>
        <w:rPr>
          <w:lang w:val="lv-LV"/>
        </w:rPr>
      </w:pPr>
      <w:r>
        <w:rPr>
          <w:lang w:val="lv-LV"/>
        </w:rPr>
        <w:t>Eksperta pieredzes apraksts (atbilstoši 10.punktā dotajai tabulai), kas apliecina Pretendenta atbilstību 8.1.2. apakšpunktā minētajām prasībām.</w:t>
      </w:r>
    </w:p>
    <w:p w14:paraId="69A4460B" w14:textId="77777777" w:rsidR="00B05056" w:rsidRDefault="00B05056" w:rsidP="00B05056">
      <w:pPr>
        <w:numPr>
          <w:ilvl w:val="1"/>
          <w:numId w:val="14"/>
        </w:numPr>
        <w:spacing w:line="276" w:lineRule="auto"/>
        <w:jc w:val="both"/>
        <w:rPr>
          <w:lang w:val="lv-LV"/>
        </w:rPr>
      </w:pPr>
      <w:r w:rsidRPr="00B05056">
        <w:rPr>
          <w:lang w:val="lv-LV"/>
        </w:rPr>
        <w:t>Pretendenti, kas ir juridiskās personas, iesniedz ekspertu sarakstu ar norādi uz paredzēto lomu pakalpojumu sniegšanā.</w:t>
      </w:r>
    </w:p>
    <w:p w14:paraId="5EF0E39A" w14:textId="126A301B" w:rsidR="00B05056" w:rsidRDefault="00B05056" w:rsidP="00B05056">
      <w:pPr>
        <w:numPr>
          <w:ilvl w:val="1"/>
          <w:numId w:val="14"/>
        </w:numPr>
        <w:spacing w:line="276" w:lineRule="auto"/>
        <w:jc w:val="both"/>
        <w:rPr>
          <w:lang w:val="lv-LV"/>
        </w:rPr>
      </w:pPr>
      <w:r>
        <w:rPr>
          <w:lang w:val="lv-LV"/>
        </w:rPr>
        <w:t>Pretendenta finanšu piedāvājumu (atbilstoši 11.punktā dotajai tabulai).</w:t>
      </w:r>
    </w:p>
    <w:p w14:paraId="59F0B9E6" w14:textId="62F373CE" w:rsidR="00BA6687" w:rsidRDefault="00BA6687" w:rsidP="00BA6687">
      <w:pPr>
        <w:spacing w:line="276" w:lineRule="auto"/>
        <w:ind w:left="792"/>
        <w:jc w:val="both"/>
        <w:rPr>
          <w:lang w:val="lv-LV"/>
        </w:rPr>
      </w:pPr>
      <w:r>
        <w:rPr>
          <w:lang w:val="lv-LV"/>
        </w:rPr>
        <w:br w:type="page"/>
      </w:r>
    </w:p>
    <w:p w14:paraId="30AE8BD1" w14:textId="77777777" w:rsidR="00BA6687" w:rsidRDefault="00BA6687" w:rsidP="00BA6687">
      <w:pPr>
        <w:spacing w:line="276" w:lineRule="auto"/>
        <w:ind w:left="792"/>
        <w:jc w:val="both"/>
        <w:rPr>
          <w:lang w:val="lv-LV"/>
        </w:rPr>
      </w:pPr>
    </w:p>
    <w:p w14:paraId="0D8CE634" w14:textId="04967A96" w:rsidR="00B05056" w:rsidRPr="00B05056" w:rsidRDefault="00B05056" w:rsidP="00B05056">
      <w:pPr>
        <w:numPr>
          <w:ilvl w:val="0"/>
          <w:numId w:val="14"/>
        </w:numPr>
        <w:spacing w:line="276" w:lineRule="auto"/>
        <w:jc w:val="both"/>
        <w:rPr>
          <w:b/>
          <w:lang w:val="lv-LV"/>
        </w:rPr>
      </w:pPr>
      <w:r w:rsidRPr="00B05056">
        <w:rPr>
          <w:b/>
          <w:lang w:val="lv-LV"/>
        </w:rPr>
        <w:t>Pretendenta eksperta(-u) pieredzes apraksts:</w:t>
      </w:r>
    </w:p>
    <w:p w14:paraId="295A9281" w14:textId="77777777" w:rsidR="00A1055C" w:rsidRDefault="00A1055C" w:rsidP="004B0846">
      <w:pPr>
        <w:jc w:val="center"/>
        <w:rPr>
          <w:b/>
          <w:sz w:val="28"/>
          <w:lang w:val="lv-LV"/>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42"/>
        <w:gridCol w:w="2551"/>
        <w:gridCol w:w="2074"/>
      </w:tblGrid>
      <w:tr w:rsidR="00A8391D" w14:paraId="794DBC8D" w14:textId="77777777" w:rsidTr="00A8391D">
        <w:tc>
          <w:tcPr>
            <w:tcW w:w="648" w:type="dxa"/>
            <w:shd w:val="clear" w:color="auto" w:fill="auto"/>
          </w:tcPr>
          <w:p w14:paraId="42EB5F58" w14:textId="77777777" w:rsidR="00A8391D" w:rsidRPr="005C331F" w:rsidRDefault="00A8391D" w:rsidP="00055BD1">
            <w:pPr>
              <w:spacing w:line="276" w:lineRule="auto"/>
              <w:rPr>
                <w:b/>
                <w:lang w:val="lv-LV" w:eastAsia="lv-LV"/>
              </w:rPr>
            </w:pPr>
            <w:r w:rsidRPr="005C331F">
              <w:rPr>
                <w:b/>
                <w:lang w:val="lv-LV"/>
              </w:rPr>
              <w:t xml:space="preserve">Nr. </w:t>
            </w:r>
          </w:p>
        </w:tc>
        <w:tc>
          <w:tcPr>
            <w:tcW w:w="3742" w:type="dxa"/>
            <w:shd w:val="clear" w:color="auto" w:fill="auto"/>
          </w:tcPr>
          <w:p w14:paraId="5AB5896F" w14:textId="401B574D" w:rsidR="00A8391D" w:rsidRPr="005C331F" w:rsidRDefault="00A8391D" w:rsidP="00055BD1">
            <w:pPr>
              <w:spacing w:line="276" w:lineRule="auto"/>
              <w:rPr>
                <w:b/>
                <w:lang w:val="lv-LV"/>
              </w:rPr>
            </w:pPr>
            <w:r>
              <w:rPr>
                <w:b/>
                <w:lang w:val="lv-LV"/>
              </w:rPr>
              <w:t xml:space="preserve">Finanšu aprēķini vispārējā izglītībā </w:t>
            </w:r>
            <w:r w:rsidRPr="005C331F">
              <w:rPr>
                <w:b/>
                <w:lang w:val="lv-LV"/>
              </w:rPr>
              <w:t>(</w:t>
            </w:r>
            <w:r>
              <w:rPr>
                <w:b/>
                <w:lang w:val="lv-LV"/>
              </w:rPr>
              <w:t xml:space="preserve">publikācijas </w:t>
            </w:r>
            <w:r w:rsidRPr="005C331F">
              <w:rPr>
                <w:b/>
                <w:lang w:val="lv-LV"/>
              </w:rPr>
              <w:t xml:space="preserve">nosaukums, </w:t>
            </w:r>
            <w:r>
              <w:rPr>
                <w:b/>
                <w:lang w:val="lv-LV"/>
              </w:rPr>
              <w:t>pasūtītāja atsauce u.tml.)</w:t>
            </w:r>
            <w:r w:rsidRPr="005C331F">
              <w:rPr>
                <w:b/>
                <w:lang w:val="lv-LV"/>
              </w:rPr>
              <w:t xml:space="preserve"> </w:t>
            </w:r>
          </w:p>
        </w:tc>
        <w:tc>
          <w:tcPr>
            <w:tcW w:w="2551" w:type="dxa"/>
            <w:shd w:val="clear" w:color="auto" w:fill="auto"/>
          </w:tcPr>
          <w:p w14:paraId="016658B2" w14:textId="761EA7CB" w:rsidR="00A8391D" w:rsidRPr="005C331F" w:rsidRDefault="00A8391D" w:rsidP="00055BD1">
            <w:pPr>
              <w:spacing w:line="276" w:lineRule="auto"/>
              <w:rPr>
                <w:b/>
                <w:lang w:val="lv-LV"/>
              </w:rPr>
            </w:pPr>
            <w:r w:rsidRPr="005C331F">
              <w:rPr>
                <w:b/>
                <w:lang w:val="lv-LV"/>
              </w:rPr>
              <w:t>Materiāl</w:t>
            </w:r>
            <w:r>
              <w:rPr>
                <w:b/>
                <w:lang w:val="lv-LV"/>
              </w:rPr>
              <w:t>a</w:t>
            </w:r>
            <w:r w:rsidRPr="005C331F">
              <w:rPr>
                <w:b/>
                <w:lang w:val="lv-LV"/>
              </w:rPr>
              <w:t xml:space="preserve"> apraksts</w:t>
            </w:r>
            <w:r>
              <w:rPr>
                <w:b/>
                <w:lang w:val="lv-LV"/>
              </w:rPr>
              <w:t xml:space="preserve"> (tai skaitā saite, kur pētījumi aplūkojami)</w:t>
            </w:r>
          </w:p>
        </w:tc>
        <w:tc>
          <w:tcPr>
            <w:tcW w:w="2074" w:type="dxa"/>
            <w:shd w:val="clear" w:color="auto" w:fill="auto"/>
          </w:tcPr>
          <w:p w14:paraId="1FED9A86" w14:textId="72209627" w:rsidR="00A8391D" w:rsidRPr="005C331F" w:rsidRDefault="00A8391D" w:rsidP="00055BD1">
            <w:pPr>
              <w:spacing w:line="276" w:lineRule="auto"/>
              <w:rPr>
                <w:b/>
                <w:lang w:val="lv-LV"/>
              </w:rPr>
            </w:pPr>
            <w:r>
              <w:rPr>
                <w:b/>
                <w:lang w:val="lv-LV"/>
              </w:rPr>
              <w:t xml:space="preserve">Pētījuma veikšanas laiks (no / </w:t>
            </w:r>
            <w:r w:rsidRPr="005C331F">
              <w:rPr>
                <w:b/>
                <w:lang w:val="lv-LV"/>
              </w:rPr>
              <w:t>līdz)</w:t>
            </w:r>
          </w:p>
        </w:tc>
      </w:tr>
      <w:tr w:rsidR="00A8391D" w14:paraId="0ED93D9E" w14:textId="77777777" w:rsidTr="00A8391D">
        <w:tc>
          <w:tcPr>
            <w:tcW w:w="648" w:type="dxa"/>
            <w:shd w:val="clear" w:color="auto" w:fill="auto"/>
          </w:tcPr>
          <w:p w14:paraId="36475E11" w14:textId="77777777" w:rsidR="00A8391D" w:rsidRPr="005C331F" w:rsidRDefault="00A8391D" w:rsidP="00FA3D06">
            <w:pPr>
              <w:spacing w:line="276" w:lineRule="auto"/>
              <w:jc w:val="center"/>
              <w:rPr>
                <w:lang w:val="lv-LV"/>
              </w:rPr>
            </w:pPr>
            <w:r w:rsidRPr="005C331F">
              <w:rPr>
                <w:lang w:val="lv-LV"/>
              </w:rPr>
              <w:t>1.</w:t>
            </w:r>
          </w:p>
        </w:tc>
        <w:tc>
          <w:tcPr>
            <w:tcW w:w="3742" w:type="dxa"/>
            <w:shd w:val="clear" w:color="auto" w:fill="auto"/>
          </w:tcPr>
          <w:p w14:paraId="6AF07AEE" w14:textId="77777777" w:rsidR="00A8391D" w:rsidRPr="005C331F" w:rsidRDefault="00A8391D" w:rsidP="00055BD1">
            <w:pPr>
              <w:spacing w:line="276" w:lineRule="auto"/>
              <w:rPr>
                <w:lang w:val="lv-LV"/>
              </w:rPr>
            </w:pPr>
          </w:p>
        </w:tc>
        <w:tc>
          <w:tcPr>
            <w:tcW w:w="2551" w:type="dxa"/>
            <w:shd w:val="clear" w:color="auto" w:fill="auto"/>
          </w:tcPr>
          <w:p w14:paraId="26A8E49D" w14:textId="77777777" w:rsidR="00A8391D" w:rsidRPr="005C331F" w:rsidRDefault="00A8391D" w:rsidP="00055BD1">
            <w:pPr>
              <w:spacing w:line="276" w:lineRule="auto"/>
              <w:rPr>
                <w:lang w:val="lv-LV"/>
              </w:rPr>
            </w:pPr>
          </w:p>
        </w:tc>
        <w:tc>
          <w:tcPr>
            <w:tcW w:w="2074" w:type="dxa"/>
            <w:shd w:val="clear" w:color="auto" w:fill="auto"/>
          </w:tcPr>
          <w:p w14:paraId="019D6931" w14:textId="77777777" w:rsidR="00A8391D" w:rsidRPr="005C331F" w:rsidRDefault="00A8391D" w:rsidP="00055BD1">
            <w:pPr>
              <w:spacing w:line="276" w:lineRule="auto"/>
              <w:rPr>
                <w:lang w:val="lv-LV"/>
              </w:rPr>
            </w:pPr>
          </w:p>
        </w:tc>
      </w:tr>
      <w:tr w:rsidR="00A8391D" w14:paraId="73F08F69" w14:textId="77777777" w:rsidTr="00A8391D">
        <w:tc>
          <w:tcPr>
            <w:tcW w:w="648" w:type="dxa"/>
            <w:shd w:val="clear" w:color="auto" w:fill="auto"/>
          </w:tcPr>
          <w:p w14:paraId="59C1E6CD" w14:textId="074824BA" w:rsidR="00A8391D" w:rsidRPr="005C331F" w:rsidRDefault="00A8391D" w:rsidP="00FA3D06">
            <w:pPr>
              <w:spacing w:line="276" w:lineRule="auto"/>
              <w:jc w:val="center"/>
              <w:rPr>
                <w:lang w:val="lv-LV"/>
              </w:rPr>
            </w:pPr>
            <w:r>
              <w:rPr>
                <w:lang w:val="lv-LV"/>
              </w:rPr>
              <w:t>2.</w:t>
            </w:r>
          </w:p>
        </w:tc>
        <w:tc>
          <w:tcPr>
            <w:tcW w:w="3742" w:type="dxa"/>
            <w:shd w:val="clear" w:color="auto" w:fill="auto"/>
          </w:tcPr>
          <w:p w14:paraId="7EC0270D" w14:textId="77777777" w:rsidR="00A8391D" w:rsidRPr="005C331F" w:rsidRDefault="00A8391D" w:rsidP="00055BD1">
            <w:pPr>
              <w:spacing w:line="276" w:lineRule="auto"/>
              <w:rPr>
                <w:lang w:val="lv-LV"/>
              </w:rPr>
            </w:pPr>
          </w:p>
        </w:tc>
        <w:tc>
          <w:tcPr>
            <w:tcW w:w="2551" w:type="dxa"/>
            <w:shd w:val="clear" w:color="auto" w:fill="auto"/>
          </w:tcPr>
          <w:p w14:paraId="2CA72319" w14:textId="77777777" w:rsidR="00A8391D" w:rsidRPr="005C331F" w:rsidRDefault="00A8391D" w:rsidP="00055BD1">
            <w:pPr>
              <w:spacing w:line="276" w:lineRule="auto"/>
              <w:rPr>
                <w:lang w:val="lv-LV"/>
              </w:rPr>
            </w:pPr>
          </w:p>
        </w:tc>
        <w:tc>
          <w:tcPr>
            <w:tcW w:w="2074" w:type="dxa"/>
            <w:shd w:val="clear" w:color="auto" w:fill="auto"/>
          </w:tcPr>
          <w:p w14:paraId="22FA35D9" w14:textId="77777777" w:rsidR="00A8391D" w:rsidRPr="005C331F" w:rsidRDefault="00A8391D" w:rsidP="00055BD1">
            <w:pPr>
              <w:spacing w:line="276" w:lineRule="auto"/>
              <w:rPr>
                <w:lang w:val="lv-LV"/>
              </w:rPr>
            </w:pPr>
          </w:p>
        </w:tc>
      </w:tr>
    </w:tbl>
    <w:p w14:paraId="3F1D8E72" w14:textId="77777777" w:rsidR="00553121" w:rsidRDefault="00553121" w:rsidP="00B05056">
      <w:pPr>
        <w:pStyle w:val="Heading1"/>
      </w:pPr>
    </w:p>
    <w:p w14:paraId="416FCC3B" w14:textId="1BE98EF5" w:rsidR="00B05056" w:rsidRPr="00B05056" w:rsidRDefault="00B05056" w:rsidP="00B05056">
      <w:pPr>
        <w:numPr>
          <w:ilvl w:val="0"/>
          <w:numId w:val="14"/>
        </w:numPr>
        <w:spacing w:line="276" w:lineRule="auto"/>
        <w:jc w:val="both"/>
        <w:rPr>
          <w:b/>
          <w:lang w:val="lv-LV"/>
        </w:rPr>
      </w:pPr>
      <w:r w:rsidRPr="00B05056">
        <w:rPr>
          <w:b/>
          <w:lang w:val="lv-LV"/>
        </w:rPr>
        <w:t>Finanšu piedāvājums:</w:t>
      </w:r>
    </w:p>
    <w:p w14:paraId="075B4ED9" w14:textId="78FAC148" w:rsidR="004216A3" w:rsidRPr="00612B35" w:rsidRDefault="004216A3" w:rsidP="00B05056">
      <w:pPr>
        <w:pStyle w:val="Heading1"/>
        <w:rPr>
          <w:b w:val="0"/>
          <w:sz w:val="28"/>
        </w:rPr>
      </w:pPr>
    </w:p>
    <w:tbl>
      <w:tblPr>
        <w:tblW w:w="90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4590"/>
        <w:gridCol w:w="3577"/>
      </w:tblGrid>
      <w:tr w:rsidR="00A8391D" w:rsidRPr="004216A3" w14:paraId="797D2584" w14:textId="77777777" w:rsidTr="0095647B">
        <w:trPr>
          <w:trHeight w:val="675"/>
        </w:trPr>
        <w:tc>
          <w:tcPr>
            <w:tcW w:w="862" w:type="dxa"/>
            <w:shd w:val="clear" w:color="auto" w:fill="auto"/>
            <w:vAlign w:val="center"/>
          </w:tcPr>
          <w:p w14:paraId="54EC86D0" w14:textId="1393F4CB" w:rsidR="00A8391D" w:rsidRPr="004216A3" w:rsidRDefault="00A8391D" w:rsidP="004216A3">
            <w:pPr>
              <w:jc w:val="center"/>
              <w:rPr>
                <w:lang w:val="lv-LV"/>
              </w:rPr>
            </w:pPr>
            <w:r>
              <w:rPr>
                <w:b/>
                <w:lang w:val="lv-LV" w:eastAsia="lv-LV"/>
              </w:rPr>
              <w:t>Nr.</w:t>
            </w:r>
          </w:p>
        </w:tc>
        <w:tc>
          <w:tcPr>
            <w:tcW w:w="4590" w:type="dxa"/>
            <w:shd w:val="clear" w:color="auto" w:fill="auto"/>
            <w:vAlign w:val="center"/>
          </w:tcPr>
          <w:p w14:paraId="4D103ED6" w14:textId="18B4C28A" w:rsidR="00A8391D" w:rsidRPr="004216A3" w:rsidRDefault="00A8391D" w:rsidP="004216A3">
            <w:pPr>
              <w:jc w:val="center"/>
              <w:rPr>
                <w:b/>
                <w:lang w:val="lv-LV" w:eastAsia="lv-LV"/>
              </w:rPr>
            </w:pPr>
            <w:r>
              <w:rPr>
                <w:b/>
                <w:lang w:val="lv-LV" w:eastAsia="lv-LV"/>
              </w:rPr>
              <w:t>Nosaukums</w:t>
            </w:r>
          </w:p>
        </w:tc>
        <w:tc>
          <w:tcPr>
            <w:tcW w:w="3577" w:type="dxa"/>
            <w:vAlign w:val="center"/>
          </w:tcPr>
          <w:p w14:paraId="359D9580" w14:textId="19FFB2D7" w:rsidR="00A8391D" w:rsidRPr="004216A3" w:rsidRDefault="00F803A6" w:rsidP="004216A3">
            <w:pPr>
              <w:spacing w:line="276" w:lineRule="auto"/>
              <w:jc w:val="center"/>
              <w:rPr>
                <w:b/>
                <w:lang w:val="lv-LV"/>
              </w:rPr>
            </w:pPr>
            <w:r>
              <w:rPr>
                <w:b/>
                <w:i/>
                <w:iCs/>
                <w:lang w:val="lv-LV"/>
              </w:rPr>
              <w:t xml:space="preserve">Euro </w:t>
            </w:r>
            <w:r>
              <w:rPr>
                <w:b/>
                <w:lang w:val="lv-LV"/>
              </w:rPr>
              <w:t>b</w:t>
            </w:r>
            <w:r w:rsidR="00A8391D">
              <w:rPr>
                <w:b/>
                <w:lang w:val="lv-LV"/>
              </w:rPr>
              <w:t>ruto atalgojuma apmērs</w:t>
            </w:r>
            <w:r>
              <w:rPr>
                <w:b/>
                <w:lang w:val="lv-LV"/>
              </w:rPr>
              <w:t>, ja Pretendents ir</w:t>
            </w:r>
            <w:r w:rsidR="00A8391D">
              <w:rPr>
                <w:b/>
                <w:lang w:val="lv-LV"/>
              </w:rPr>
              <w:t xml:space="preserve"> fizisk</w:t>
            </w:r>
            <w:r>
              <w:rPr>
                <w:b/>
                <w:lang w:val="lv-LV"/>
              </w:rPr>
              <w:t>a</w:t>
            </w:r>
            <w:r w:rsidR="00A8391D">
              <w:rPr>
                <w:b/>
                <w:lang w:val="lv-LV"/>
              </w:rPr>
              <w:t xml:space="preserve"> person</w:t>
            </w:r>
            <w:r>
              <w:rPr>
                <w:b/>
                <w:lang w:val="lv-LV"/>
              </w:rPr>
              <w:t>a</w:t>
            </w:r>
            <w:r w:rsidR="00A8391D">
              <w:rPr>
                <w:b/>
                <w:lang w:val="lv-LV"/>
              </w:rPr>
              <w:t xml:space="preserve"> vai </w:t>
            </w:r>
            <w:r>
              <w:rPr>
                <w:b/>
                <w:i/>
                <w:iCs/>
                <w:lang w:val="lv-LV"/>
              </w:rPr>
              <w:t xml:space="preserve">euro </w:t>
            </w:r>
            <w:r w:rsidR="00A8391D">
              <w:rPr>
                <w:b/>
                <w:lang w:val="lv-LV"/>
              </w:rPr>
              <w:t>bez PVN, ja Pretendents ir juridiskā persona</w:t>
            </w:r>
          </w:p>
        </w:tc>
      </w:tr>
      <w:tr w:rsidR="00A8391D" w:rsidRPr="004216A3" w14:paraId="4E03A443" w14:textId="77777777" w:rsidTr="00C12145">
        <w:trPr>
          <w:trHeight w:val="315"/>
        </w:trPr>
        <w:tc>
          <w:tcPr>
            <w:tcW w:w="862" w:type="dxa"/>
            <w:shd w:val="clear" w:color="auto" w:fill="auto"/>
            <w:vAlign w:val="center"/>
          </w:tcPr>
          <w:p w14:paraId="511526DF" w14:textId="77777777" w:rsidR="00A8391D" w:rsidRPr="004216A3" w:rsidRDefault="00A8391D" w:rsidP="001E1309">
            <w:pPr>
              <w:jc w:val="center"/>
              <w:rPr>
                <w:b/>
                <w:lang w:val="lv-LV"/>
              </w:rPr>
            </w:pPr>
            <w:r w:rsidRPr="004216A3">
              <w:rPr>
                <w:b/>
                <w:lang w:val="lv-LV"/>
              </w:rPr>
              <w:t>1.</w:t>
            </w:r>
          </w:p>
        </w:tc>
        <w:tc>
          <w:tcPr>
            <w:tcW w:w="4590" w:type="dxa"/>
            <w:shd w:val="clear" w:color="auto" w:fill="auto"/>
            <w:vAlign w:val="center"/>
          </w:tcPr>
          <w:p w14:paraId="7C6EE7D3" w14:textId="77472C7C" w:rsidR="00A8391D" w:rsidRPr="004216A3" w:rsidRDefault="005A3E67" w:rsidP="001E130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center"/>
              <w:rPr>
                <w:lang w:val="lv-LV"/>
              </w:rPr>
            </w:pPr>
            <w:r>
              <w:rPr>
                <w:lang w:val="lv-LV"/>
              </w:rPr>
              <w:t>Eksperta</w:t>
            </w:r>
            <w:r w:rsidR="00A8391D" w:rsidRPr="003F4AAD">
              <w:rPr>
                <w:lang w:val="lv-LV"/>
              </w:rPr>
              <w:t xml:space="preserve"> pakalpojumi par jaunā pedagogu darba samaksas modeļa priekšlikumiem</w:t>
            </w:r>
            <w:r w:rsidR="00A8391D" w:rsidRPr="005425E0">
              <w:rPr>
                <w:lang w:val="lv-LV"/>
              </w:rPr>
              <w:t>.</w:t>
            </w:r>
          </w:p>
        </w:tc>
        <w:tc>
          <w:tcPr>
            <w:tcW w:w="3577" w:type="dxa"/>
          </w:tcPr>
          <w:p w14:paraId="1FED977B" w14:textId="77777777" w:rsidR="00A8391D" w:rsidRDefault="00A8391D" w:rsidP="00A8391D">
            <w:pPr>
              <w:jc w:val="center"/>
              <w:rPr>
                <w:lang w:val="lv-LV"/>
              </w:rPr>
            </w:pPr>
          </w:p>
          <w:p w14:paraId="0A57311C" w14:textId="77777777" w:rsidR="00A8391D" w:rsidRPr="004216A3" w:rsidRDefault="00A8391D" w:rsidP="00A8391D">
            <w:pPr>
              <w:jc w:val="center"/>
              <w:rPr>
                <w:lang w:val="lv-LV"/>
              </w:rPr>
            </w:pPr>
          </w:p>
        </w:tc>
      </w:tr>
    </w:tbl>
    <w:p w14:paraId="47724F5C" w14:textId="77777777" w:rsidR="004216A3" w:rsidRDefault="004216A3" w:rsidP="00553121">
      <w:pPr>
        <w:jc w:val="both"/>
        <w:rPr>
          <w:lang w:val="lv-LV"/>
        </w:rPr>
      </w:pPr>
    </w:p>
    <w:p w14:paraId="5414CC09" w14:textId="77777777" w:rsidR="008D6087" w:rsidRDefault="008D6087" w:rsidP="008D6087">
      <w:pPr>
        <w:pStyle w:val="ListParagraph"/>
        <w:numPr>
          <w:ilvl w:val="0"/>
          <w:numId w:val="14"/>
        </w:numPr>
        <w:rPr>
          <w:rFonts w:ascii="Times New Roman" w:eastAsia="Times New Roman" w:hAnsi="Times New Roman"/>
          <w:b/>
          <w:sz w:val="24"/>
          <w:szCs w:val="24"/>
        </w:rPr>
      </w:pPr>
      <w:r w:rsidRPr="008D6087">
        <w:rPr>
          <w:rFonts w:ascii="Times New Roman" w:eastAsia="Times New Roman" w:hAnsi="Times New Roman"/>
          <w:b/>
          <w:sz w:val="24"/>
          <w:szCs w:val="24"/>
        </w:rPr>
        <w:t xml:space="preserve">Iesniegto piedāvājumu vērtēšana un lēmuma pieņemšana: </w:t>
      </w:r>
    </w:p>
    <w:p w14:paraId="0A3BF2DF" w14:textId="77777777" w:rsidR="008D6087" w:rsidRPr="008D6087" w:rsidRDefault="008D6087" w:rsidP="008D6087">
      <w:pPr>
        <w:pStyle w:val="ListParagraph"/>
        <w:numPr>
          <w:ilvl w:val="1"/>
          <w:numId w:val="14"/>
        </w:numPr>
        <w:rPr>
          <w:rFonts w:ascii="Times New Roman" w:eastAsia="Times New Roman" w:hAnsi="Times New Roman"/>
          <w:sz w:val="24"/>
          <w:szCs w:val="24"/>
        </w:rPr>
      </w:pPr>
      <w:r w:rsidRPr="008D6087">
        <w:rPr>
          <w:rFonts w:ascii="Times New Roman" w:eastAsia="Times New Roman" w:hAnsi="Times New Roman"/>
          <w:sz w:val="24"/>
          <w:szCs w:val="24"/>
        </w:rPr>
        <w:t>Piedāvājumu vērtēšana notiks sekojošā kārtībā:</w:t>
      </w:r>
    </w:p>
    <w:p w14:paraId="24141E44" w14:textId="47D59877" w:rsidR="008D6087" w:rsidRPr="008D6087" w:rsidRDefault="008D6087" w:rsidP="00BA6687">
      <w:pPr>
        <w:pStyle w:val="ListParagraph"/>
        <w:numPr>
          <w:ilvl w:val="2"/>
          <w:numId w:val="14"/>
        </w:numPr>
        <w:jc w:val="both"/>
        <w:rPr>
          <w:rFonts w:ascii="Times New Roman" w:eastAsia="Times New Roman" w:hAnsi="Times New Roman"/>
          <w:sz w:val="24"/>
          <w:szCs w:val="24"/>
        </w:rPr>
      </w:pPr>
      <w:r w:rsidRPr="008D6087">
        <w:rPr>
          <w:rFonts w:ascii="Times New Roman" w:eastAsia="Times New Roman" w:hAnsi="Times New Roman"/>
          <w:sz w:val="24"/>
          <w:szCs w:val="24"/>
        </w:rPr>
        <w:t xml:space="preserve">Pretendenta piedāvājuma </w:t>
      </w:r>
      <w:r>
        <w:rPr>
          <w:rFonts w:ascii="Times New Roman" w:eastAsia="Times New Roman" w:hAnsi="Times New Roman"/>
          <w:sz w:val="24"/>
          <w:szCs w:val="24"/>
        </w:rPr>
        <w:t xml:space="preserve">iesniegto dokumentu pietiekamība 9.punktā noteiktajām prasībām. </w:t>
      </w:r>
      <w:r w:rsidRPr="008D6087">
        <w:rPr>
          <w:rFonts w:ascii="Times New Roman" w:eastAsia="Times New Roman" w:hAnsi="Times New Roman"/>
          <w:sz w:val="24"/>
          <w:szCs w:val="24"/>
        </w:rPr>
        <w:t xml:space="preserve">Ja </w:t>
      </w:r>
      <w:r>
        <w:rPr>
          <w:rFonts w:ascii="Times New Roman" w:eastAsia="Times New Roman" w:hAnsi="Times New Roman"/>
          <w:sz w:val="24"/>
          <w:szCs w:val="24"/>
        </w:rPr>
        <w:t xml:space="preserve">Pasūtītājs </w:t>
      </w:r>
      <w:r w:rsidRPr="008D6087">
        <w:rPr>
          <w:rFonts w:ascii="Times New Roman" w:eastAsia="Times New Roman" w:hAnsi="Times New Roman"/>
          <w:sz w:val="24"/>
          <w:szCs w:val="24"/>
        </w:rPr>
        <w:t xml:space="preserve">konstatē piedāvājuma neatbilstību prasībām, kura var ietekmēt turpmāko lēmumu attiecībā uz Pretendentu (piemēram, trūkst dokumentu, </w:t>
      </w:r>
      <w:r>
        <w:rPr>
          <w:rFonts w:ascii="Times New Roman" w:eastAsia="Times New Roman" w:hAnsi="Times New Roman"/>
          <w:sz w:val="24"/>
          <w:szCs w:val="24"/>
        </w:rPr>
        <w:t xml:space="preserve">saturs neatbilst izvirzītajām prasībām </w:t>
      </w:r>
      <w:r w:rsidRPr="008D6087">
        <w:rPr>
          <w:rFonts w:ascii="Times New Roman" w:eastAsia="Times New Roman" w:hAnsi="Times New Roman"/>
          <w:sz w:val="24"/>
          <w:szCs w:val="24"/>
        </w:rPr>
        <w:t>u.c.), tā var lemt par Pretendenta noraidīšanu</w:t>
      </w:r>
      <w:r>
        <w:rPr>
          <w:rFonts w:ascii="Times New Roman" w:eastAsia="Times New Roman" w:hAnsi="Times New Roman"/>
          <w:sz w:val="24"/>
          <w:szCs w:val="24"/>
        </w:rPr>
        <w:t xml:space="preserve"> no turpmākās dalības iepirkumā.</w:t>
      </w:r>
      <w:r w:rsidRPr="008D6087">
        <w:rPr>
          <w:rFonts w:ascii="Times New Roman" w:eastAsia="Times New Roman" w:hAnsi="Times New Roman"/>
          <w:sz w:val="24"/>
          <w:szCs w:val="24"/>
        </w:rPr>
        <w:t xml:space="preserve"> </w:t>
      </w:r>
      <w:r>
        <w:rPr>
          <w:rFonts w:ascii="Times New Roman" w:eastAsia="Times New Roman" w:hAnsi="Times New Roman"/>
          <w:sz w:val="24"/>
          <w:szCs w:val="24"/>
        </w:rPr>
        <w:t>N</w:t>
      </w:r>
      <w:r w:rsidRPr="008D6087">
        <w:rPr>
          <w:rFonts w:ascii="Times New Roman" w:eastAsia="Times New Roman" w:hAnsi="Times New Roman"/>
          <w:sz w:val="24"/>
          <w:szCs w:val="24"/>
        </w:rPr>
        <w:t xml:space="preserve">epieciešamības gadījumā </w:t>
      </w:r>
      <w:r>
        <w:rPr>
          <w:rFonts w:ascii="Times New Roman" w:eastAsia="Times New Roman" w:hAnsi="Times New Roman"/>
          <w:sz w:val="24"/>
          <w:szCs w:val="24"/>
        </w:rPr>
        <w:t xml:space="preserve">Pasūtītājs </w:t>
      </w:r>
      <w:r w:rsidRPr="008D6087">
        <w:rPr>
          <w:rFonts w:ascii="Times New Roman" w:eastAsia="Times New Roman" w:hAnsi="Times New Roman"/>
          <w:sz w:val="24"/>
          <w:szCs w:val="24"/>
        </w:rPr>
        <w:t>var lūgt Pretendentu vai kompetentu institūciju izskaidrot piedāvājuma dokument</w:t>
      </w:r>
      <w:r>
        <w:rPr>
          <w:rFonts w:ascii="Times New Roman" w:eastAsia="Times New Roman" w:hAnsi="Times New Roman"/>
          <w:sz w:val="24"/>
          <w:szCs w:val="24"/>
        </w:rPr>
        <w:t>os ietverto informāciju.</w:t>
      </w:r>
    </w:p>
    <w:p w14:paraId="69D7853E" w14:textId="05EFBF10" w:rsidR="008D6087" w:rsidRPr="008D6087" w:rsidRDefault="008D6087" w:rsidP="000C4848">
      <w:pPr>
        <w:pStyle w:val="ListParagraph"/>
        <w:numPr>
          <w:ilvl w:val="2"/>
          <w:numId w:val="14"/>
        </w:numPr>
        <w:jc w:val="both"/>
        <w:rPr>
          <w:rFonts w:ascii="Times New Roman" w:eastAsia="Times New Roman" w:hAnsi="Times New Roman"/>
          <w:sz w:val="24"/>
          <w:szCs w:val="24"/>
        </w:rPr>
      </w:pPr>
      <w:r>
        <w:rPr>
          <w:rFonts w:ascii="Times New Roman" w:eastAsia="Times New Roman" w:hAnsi="Times New Roman"/>
          <w:sz w:val="24"/>
          <w:szCs w:val="24"/>
        </w:rPr>
        <w:t xml:space="preserve">Tiek vērtēti visu </w:t>
      </w:r>
      <w:r w:rsidRPr="008D6087">
        <w:rPr>
          <w:rFonts w:ascii="Times New Roman" w:eastAsia="Times New Roman" w:hAnsi="Times New Roman"/>
          <w:sz w:val="24"/>
          <w:szCs w:val="24"/>
        </w:rPr>
        <w:t>Pretendentu finanšu piedāv</w:t>
      </w:r>
      <w:r w:rsidR="00771F31">
        <w:rPr>
          <w:rFonts w:ascii="Times New Roman" w:eastAsia="Times New Roman" w:hAnsi="Times New Roman"/>
          <w:sz w:val="24"/>
          <w:szCs w:val="24"/>
        </w:rPr>
        <w:t>ājumi</w:t>
      </w:r>
      <w:r w:rsidRPr="008D6087">
        <w:rPr>
          <w:rFonts w:ascii="Times New Roman" w:eastAsia="Times New Roman" w:hAnsi="Times New Roman"/>
          <w:sz w:val="24"/>
          <w:szCs w:val="24"/>
        </w:rPr>
        <w:t>. Lai pārliecinātos, ka Pretendents nav iesniedzis nepamatoti lētu piedāvājumu, Pasūtītājs var pieprasīt Pretendentam pamatojumu cenas pazeminājumam. Ja Pretendents ir iesniedzis nepamatoti lētu piedāvājumu, Pasūtītājs to izslēdz no turpmākās dalības iepirkumā</w:t>
      </w:r>
      <w:r>
        <w:rPr>
          <w:rFonts w:ascii="Times New Roman" w:eastAsia="Times New Roman" w:hAnsi="Times New Roman"/>
          <w:sz w:val="24"/>
          <w:szCs w:val="24"/>
        </w:rPr>
        <w:t>.</w:t>
      </w:r>
    </w:p>
    <w:p w14:paraId="4D9BB8B3" w14:textId="4F4F1551" w:rsidR="008D6087" w:rsidRDefault="008D6087" w:rsidP="000C4848">
      <w:pPr>
        <w:pStyle w:val="ListParagraph"/>
        <w:numPr>
          <w:ilvl w:val="2"/>
          <w:numId w:val="14"/>
        </w:numPr>
        <w:jc w:val="both"/>
        <w:rPr>
          <w:rFonts w:ascii="Times New Roman" w:eastAsia="Times New Roman" w:hAnsi="Times New Roman"/>
          <w:sz w:val="24"/>
          <w:szCs w:val="24"/>
        </w:rPr>
      </w:pPr>
      <w:r w:rsidRPr="008D6087">
        <w:rPr>
          <w:rFonts w:ascii="Times New Roman" w:eastAsia="Times New Roman" w:hAnsi="Times New Roman"/>
          <w:sz w:val="24"/>
          <w:szCs w:val="24"/>
        </w:rPr>
        <w:t xml:space="preserve">Par visizdevīgāko piedāvājumu, </w:t>
      </w:r>
      <w:r>
        <w:rPr>
          <w:rFonts w:ascii="Times New Roman" w:eastAsia="Times New Roman" w:hAnsi="Times New Roman"/>
          <w:sz w:val="24"/>
          <w:szCs w:val="24"/>
        </w:rPr>
        <w:t>tiks atzīts</w:t>
      </w:r>
      <w:r w:rsidRPr="008D6087">
        <w:rPr>
          <w:rFonts w:ascii="Times New Roman" w:eastAsia="Times New Roman" w:hAnsi="Times New Roman"/>
          <w:sz w:val="24"/>
          <w:szCs w:val="24"/>
        </w:rPr>
        <w:t xml:space="preserve"> </w:t>
      </w:r>
      <w:r>
        <w:rPr>
          <w:rFonts w:ascii="Times New Roman" w:eastAsia="Times New Roman" w:hAnsi="Times New Roman"/>
          <w:sz w:val="24"/>
          <w:szCs w:val="24"/>
        </w:rPr>
        <w:t>finansiāli izdevīgākais piedāvājums</w:t>
      </w:r>
      <w:r w:rsidRPr="008D6087">
        <w:rPr>
          <w:rFonts w:ascii="Times New Roman" w:eastAsia="Times New Roman" w:hAnsi="Times New Roman"/>
          <w:sz w:val="24"/>
          <w:szCs w:val="24"/>
        </w:rPr>
        <w:t xml:space="preserve">, kas vienlaikus atbildīs visām </w:t>
      </w:r>
      <w:r>
        <w:rPr>
          <w:rFonts w:ascii="Times New Roman" w:eastAsia="Times New Roman" w:hAnsi="Times New Roman"/>
          <w:sz w:val="24"/>
          <w:szCs w:val="24"/>
        </w:rPr>
        <w:t>8</w:t>
      </w:r>
      <w:r w:rsidRPr="008D6087">
        <w:rPr>
          <w:rFonts w:ascii="Times New Roman" w:eastAsia="Times New Roman" w:hAnsi="Times New Roman"/>
          <w:sz w:val="24"/>
          <w:szCs w:val="24"/>
        </w:rPr>
        <w:t>.1. punktā noteiktajām prasībām</w:t>
      </w:r>
      <w:r>
        <w:rPr>
          <w:rFonts w:ascii="Times New Roman" w:eastAsia="Times New Roman" w:hAnsi="Times New Roman"/>
          <w:sz w:val="24"/>
          <w:szCs w:val="24"/>
        </w:rPr>
        <w:t>.</w:t>
      </w:r>
    </w:p>
    <w:p w14:paraId="27F1B472" w14:textId="0AA63DCC" w:rsidR="00BE0F93" w:rsidRDefault="00BE0F93" w:rsidP="00BE0F93">
      <w:pPr>
        <w:jc w:val="both"/>
      </w:pPr>
    </w:p>
    <w:p w14:paraId="269D7BA0" w14:textId="029C6BAA" w:rsidR="00BE0F93" w:rsidRDefault="00BE0F93" w:rsidP="00BE0F93">
      <w:pPr>
        <w:jc w:val="both"/>
      </w:pPr>
    </w:p>
    <w:p w14:paraId="45DB179F" w14:textId="012617D1" w:rsidR="00BE0F93" w:rsidRDefault="00BE0F93" w:rsidP="00BE0F93">
      <w:pPr>
        <w:jc w:val="both"/>
      </w:pPr>
    </w:p>
    <w:p w14:paraId="2D6C6A5E" w14:textId="33396FE4" w:rsidR="00BE0F93" w:rsidRDefault="00BE0F93" w:rsidP="00BE0F93">
      <w:pPr>
        <w:jc w:val="both"/>
      </w:pPr>
    </w:p>
    <w:p w14:paraId="3D8657B5" w14:textId="65DF7CBA" w:rsidR="00BE0F93" w:rsidRDefault="00BE0F93" w:rsidP="00BE0F93">
      <w:pPr>
        <w:jc w:val="both"/>
      </w:pPr>
    </w:p>
    <w:p w14:paraId="49C0D61E" w14:textId="05E321FB" w:rsidR="00BE0F93" w:rsidRDefault="00BE0F93" w:rsidP="00BE0F93">
      <w:pPr>
        <w:jc w:val="both"/>
      </w:pPr>
    </w:p>
    <w:p w14:paraId="759B4EEE" w14:textId="622FFBDE" w:rsidR="00BE0F93" w:rsidRDefault="00BE0F93" w:rsidP="00BE0F93">
      <w:pPr>
        <w:jc w:val="both"/>
      </w:pPr>
    </w:p>
    <w:p w14:paraId="65DE53C8" w14:textId="1D40FB39" w:rsidR="00BE0F93" w:rsidRDefault="00BE0F93" w:rsidP="00BE0F93">
      <w:pPr>
        <w:jc w:val="both"/>
      </w:pPr>
    </w:p>
    <w:p w14:paraId="60F26BD5" w14:textId="4F1FB813" w:rsidR="00BE0F93" w:rsidRDefault="00BE0F93" w:rsidP="00BE0F93">
      <w:pPr>
        <w:jc w:val="both"/>
      </w:pPr>
    </w:p>
    <w:p w14:paraId="0EE587BF" w14:textId="169571DF" w:rsidR="00BE0F93" w:rsidRDefault="00BE0F93" w:rsidP="00BE0F93">
      <w:pPr>
        <w:jc w:val="both"/>
      </w:pPr>
    </w:p>
    <w:p w14:paraId="7E3E366C" w14:textId="33BAD934" w:rsidR="00BE0F93" w:rsidRDefault="00BE0F93" w:rsidP="00BE0F93">
      <w:pPr>
        <w:jc w:val="both"/>
      </w:pPr>
    </w:p>
    <w:p w14:paraId="222B5F0F" w14:textId="74EA7AA4" w:rsidR="00BE0F93" w:rsidRDefault="00BE0F93" w:rsidP="00BE0F93">
      <w:pPr>
        <w:jc w:val="both"/>
      </w:pPr>
    </w:p>
    <w:p w14:paraId="626FEE9F" w14:textId="7B222C24" w:rsidR="00BE0F93" w:rsidRDefault="00BE0F93" w:rsidP="00BE0F93">
      <w:pPr>
        <w:jc w:val="both"/>
      </w:pPr>
    </w:p>
    <w:p w14:paraId="69044DDF" w14:textId="652C5A52" w:rsidR="00BE0F93" w:rsidRDefault="00BE0F93" w:rsidP="00BE0F93">
      <w:pPr>
        <w:jc w:val="both"/>
      </w:pPr>
    </w:p>
    <w:p w14:paraId="7191F4B8" w14:textId="07663D7E" w:rsidR="00BE0F93" w:rsidRDefault="00BE0F93" w:rsidP="00BE0F93">
      <w:pPr>
        <w:jc w:val="both"/>
      </w:pPr>
    </w:p>
    <w:p w14:paraId="7851CDFB" w14:textId="755813C3" w:rsidR="00BE0F93" w:rsidRDefault="00BE0F93" w:rsidP="00BE0F93">
      <w:pPr>
        <w:jc w:val="both"/>
      </w:pPr>
    </w:p>
    <w:p w14:paraId="0FC1BD82" w14:textId="360527B2" w:rsidR="00BE0F93" w:rsidRPr="00BE0F93" w:rsidRDefault="00BE0F93" w:rsidP="00BE0F93">
      <w:pPr>
        <w:spacing w:line="276" w:lineRule="auto"/>
        <w:jc w:val="center"/>
        <w:rPr>
          <w:b/>
        </w:rPr>
      </w:pPr>
      <w:r w:rsidRPr="00BE0F93">
        <w:rPr>
          <w:b/>
        </w:rPr>
        <w:lastRenderedPageBreak/>
        <w:t>PAKALPOJUMA LĪGUMS</w:t>
      </w:r>
      <w:r>
        <w:rPr>
          <w:b/>
        </w:rPr>
        <w:t xml:space="preserve"> (</w:t>
      </w:r>
      <w:proofErr w:type="spellStart"/>
      <w:r>
        <w:rPr>
          <w:b/>
        </w:rPr>
        <w:t>projekts</w:t>
      </w:r>
      <w:proofErr w:type="spellEnd"/>
      <w:r>
        <w:rPr>
          <w:b/>
        </w:rPr>
        <w:t>)</w:t>
      </w:r>
    </w:p>
    <w:p w14:paraId="168FEC4F" w14:textId="77777777" w:rsidR="00BE0F93" w:rsidRPr="00BE0F93" w:rsidRDefault="00BE0F93" w:rsidP="00BE0F93">
      <w:pPr>
        <w:spacing w:line="276" w:lineRule="auto"/>
        <w:jc w:val="center"/>
        <w:rPr>
          <w:b/>
          <w:color w:val="FF0000"/>
        </w:rPr>
      </w:pPr>
    </w:p>
    <w:p w14:paraId="2A696280" w14:textId="7ED097B9" w:rsidR="00BE0F93" w:rsidRDefault="00BE0F93" w:rsidP="00BE0F93">
      <w:pPr>
        <w:spacing w:line="276" w:lineRule="auto"/>
        <w:jc w:val="both"/>
      </w:pPr>
      <w:proofErr w:type="spellStart"/>
      <w:r w:rsidRPr="00BE0F93">
        <w:t>Rīgā</w:t>
      </w:r>
      <w:proofErr w:type="spellEnd"/>
    </w:p>
    <w:p w14:paraId="2359A006" w14:textId="77777777" w:rsidR="00BE0F93" w:rsidRPr="00BE0F93" w:rsidRDefault="00BE0F93" w:rsidP="00BE0F93">
      <w:pPr>
        <w:spacing w:line="276" w:lineRule="auto"/>
        <w:jc w:val="both"/>
      </w:pPr>
    </w:p>
    <w:p w14:paraId="27F48D23" w14:textId="405CDDEC" w:rsidR="00BE0F93" w:rsidRPr="00BE0F93" w:rsidRDefault="00BE0F93" w:rsidP="00BE0F93">
      <w:pPr>
        <w:spacing w:line="276" w:lineRule="auto"/>
        <w:jc w:val="both"/>
        <w:rPr>
          <w:i/>
        </w:rPr>
      </w:pPr>
      <w:proofErr w:type="spellStart"/>
      <w:r w:rsidRPr="00BE0F93">
        <w:rPr>
          <w:i/>
        </w:rPr>
        <w:t>Līguma</w:t>
      </w:r>
      <w:proofErr w:type="spellEnd"/>
      <w:r w:rsidRPr="00BE0F93">
        <w:rPr>
          <w:i/>
        </w:rPr>
        <w:t xml:space="preserve"> </w:t>
      </w:r>
      <w:proofErr w:type="spellStart"/>
      <w:r w:rsidRPr="00BE0F93">
        <w:rPr>
          <w:i/>
        </w:rPr>
        <w:t>parakstīšanas</w:t>
      </w:r>
      <w:proofErr w:type="spellEnd"/>
      <w:r w:rsidRPr="00BE0F93">
        <w:rPr>
          <w:i/>
        </w:rPr>
        <w:t xml:space="preserve"> </w:t>
      </w:r>
      <w:proofErr w:type="spellStart"/>
      <w:r w:rsidRPr="00BE0F93">
        <w:rPr>
          <w:i/>
        </w:rPr>
        <w:t>datums</w:t>
      </w:r>
      <w:proofErr w:type="spellEnd"/>
      <w:r w:rsidRPr="00BE0F93">
        <w:rPr>
          <w:i/>
        </w:rPr>
        <w:t xml:space="preserve"> </w:t>
      </w:r>
      <w:proofErr w:type="spellStart"/>
      <w:r w:rsidRPr="00BE0F93">
        <w:rPr>
          <w:i/>
        </w:rPr>
        <w:t>ir</w:t>
      </w:r>
      <w:proofErr w:type="spellEnd"/>
      <w:r w:rsidRPr="00BE0F93">
        <w:rPr>
          <w:i/>
        </w:rPr>
        <w:t xml:space="preserve"> </w:t>
      </w:r>
      <w:proofErr w:type="spellStart"/>
      <w:r w:rsidRPr="00BE0F93">
        <w:rPr>
          <w:i/>
        </w:rPr>
        <w:t>pēdējā</w:t>
      </w:r>
      <w:proofErr w:type="spellEnd"/>
      <w:r w:rsidRPr="00BE0F93">
        <w:rPr>
          <w:i/>
        </w:rPr>
        <w:t xml:space="preserve"> </w:t>
      </w:r>
      <w:proofErr w:type="spellStart"/>
      <w:r w:rsidRPr="00BE0F93">
        <w:rPr>
          <w:i/>
        </w:rPr>
        <w:t>pievienotā</w:t>
      </w:r>
      <w:proofErr w:type="spellEnd"/>
      <w:r w:rsidRPr="00BE0F93">
        <w:rPr>
          <w:i/>
        </w:rPr>
        <w:t xml:space="preserve"> </w:t>
      </w:r>
      <w:proofErr w:type="spellStart"/>
      <w:r w:rsidRPr="00BE0F93">
        <w:rPr>
          <w:i/>
        </w:rPr>
        <w:t>droša</w:t>
      </w:r>
      <w:proofErr w:type="spellEnd"/>
      <w:r w:rsidRPr="00BE0F93">
        <w:rPr>
          <w:i/>
        </w:rPr>
        <w:t xml:space="preserve"> </w:t>
      </w:r>
      <w:proofErr w:type="spellStart"/>
      <w:r w:rsidRPr="00BE0F93">
        <w:rPr>
          <w:i/>
        </w:rPr>
        <w:t>elektroniskā</w:t>
      </w:r>
      <w:proofErr w:type="spellEnd"/>
      <w:r w:rsidRPr="00BE0F93">
        <w:rPr>
          <w:i/>
        </w:rPr>
        <w:t xml:space="preserve"> </w:t>
      </w:r>
      <w:proofErr w:type="spellStart"/>
      <w:r w:rsidRPr="00BE0F93">
        <w:rPr>
          <w:i/>
        </w:rPr>
        <w:t>paraksta</w:t>
      </w:r>
      <w:proofErr w:type="spellEnd"/>
      <w:r w:rsidRPr="00BE0F93">
        <w:rPr>
          <w:i/>
        </w:rPr>
        <w:t xml:space="preserve"> un </w:t>
      </w:r>
      <w:proofErr w:type="spellStart"/>
      <w:r w:rsidRPr="00BE0F93">
        <w:rPr>
          <w:i/>
        </w:rPr>
        <w:t>tā</w:t>
      </w:r>
      <w:proofErr w:type="spellEnd"/>
      <w:r w:rsidRPr="00BE0F93">
        <w:rPr>
          <w:i/>
        </w:rPr>
        <w:t xml:space="preserve"> </w:t>
      </w:r>
      <w:proofErr w:type="spellStart"/>
      <w:r w:rsidRPr="00BE0F93">
        <w:rPr>
          <w:i/>
        </w:rPr>
        <w:t>laika</w:t>
      </w:r>
      <w:proofErr w:type="spellEnd"/>
      <w:r w:rsidRPr="00BE0F93">
        <w:rPr>
          <w:i/>
        </w:rPr>
        <w:t xml:space="preserve"> </w:t>
      </w:r>
      <w:proofErr w:type="spellStart"/>
      <w:r w:rsidRPr="00BE0F93">
        <w:rPr>
          <w:i/>
        </w:rPr>
        <w:t>zīmoga</w:t>
      </w:r>
      <w:proofErr w:type="spellEnd"/>
      <w:r w:rsidRPr="00BE0F93">
        <w:rPr>
          <w:i/>
        </w:rPr>
        <w:t xml:space="preserve"> </w:t>
      </w:r>
      <w:proofErr w:type="spellStart"/>
      <w:r w:rsidRPr="00BE0F93">
        <w:rPr>
          <w:i/>
        </w:rPr>
        <w:t>pievienošanas</w:t>
      </w:r>
      <w:proofErr w:type="spellEnd"/>
      <w:r w:rsidRPr="00BE0F93">
        <w:rPr>
          <w:i/>
        </w:rPr>
        <w:t xml:space="preserve"> </w:t>
      </w:r>
      <w:proofErr w:type="spellStart"/>
      <w:r w:rsidRPr="00BE0F93">
        <w:rPr>
          <w:i/>
        </w:rPr>
        <w:t>datums</w:t>
      </w:r>
      <w:proofErr w:type="spellEnd"/>
    </w:p>
    <w:p w14:paraId="45BA751C" w14:textId="77777777" w:rsidR="00BE0F93" w:rsidRPr="00BE0F93" w:rsidRDefault="00BE0F93" w:rsidP="00BE0F93">
      <w:pPr>
        <w:spacing w:line="276" w:lineRule="auto"/>
        <w:jc w:val="both"/>
      </w:pPr>
    </w:p>
    <w:p w14:paraId="6BD739E0" w14:textId="77777777" w:rsidR="00BE0F93" w:rsidRPr="00BE0F93" w:rsidRDefault="00BE0F93" w:rsidP="00BE0F93">
      <w:pPr>
        <w:spacing w:line="276" w:lineRule="auto"/>
        <w:jc w:val="both"/>
        <w:rPr>
          <w:b/>
          <w:snapToGrid w:val="0"/>
        </w:rPr>
      </w:pPr>
      <w:r w:rsidRPr="00BE0F93">
        <w:rPr>
          <w:b/>
          <w:bCs/>
          <w:color w:val="000000" w:themeColor="text1"/>
        </w:rPr>
        <w:t xml:space="preserve">Izglītības un </w:t>
      </w:r>
      <w:proofErr w:type="spellStart"/>
      <w:r w:rsidRPr="00BE0F93">
        <w:rPr>
          <w:b/>
          <w:bCs/>
          <w:color w:val="000000" w:themeColor="text1"/>
        </w:rPr>
        <w:t>zinātnes</w:t>
      </w:r>
      <w:proofErr w:type="spellEnd"/>
      <w:r w:rsidRPr="00BE0F93">
        <w:rPr>
          <w:b/>
          <w:bCs/>
          <w:color w:val="000000" w:themeColor="text1"/>
        </w:rPr>
        <w:t xml:space="preserve"> </w:t>
      </w:r>
      <w:proofErr w:type="spellStart"/>
      <w:r w:rsidRPr="00BE0F93">
        <w:rPr>
          <w:b/>
          <w:bCs/>
          <w:color w:val="000000" w:themeColor="text1"/>
        </w:rPr>
        <w:t>ministrija</w:t>
      </w:r>
      <w:proofErr w:type="spellEnd"/>
      <w:r w:rsidRPr="00BE0F93">
        <w:rPr>
          <w:color w:val="000000" w:themeColor="text1"/>
        </w:rPr>
        <w:t xml:space="preserve">, </w:t>
      </w:r>
      <w:proofErr w:type="spellStart"/>
      <w:r w:rsidRPr="00BE0F93">
        <w:rPr>
          <w:color w:val="000000" w:themeColor="text1"/>
        </w:rPr>
        <w:t>reģistrācijas</w:t>
      </w:r>
      <w:proofErr w:type="spellEnd"/>
      <w:r w:rsidRPr="00BE0F93">
        <w:rPr>
          <w:color w:val="000000" w:themeColor="text1"/>
        </w:rPr>
        <w:t xml:space="preserve"> Nr. 90000022399 (</w:t>
      </w:r>
      <w:proofErr w:type="spellStart"/>
      <w:r w:rsidRPr="00BE0F93">
        <w:rPr>
          <w:color w:val="000000" w:themeColor="text1"/>
        </w:rPr>
        <w:t>turpmāk</w:t>
      </w:r>
      <w:proofErr w:type="spellEnd"/>
      <w:r w:rsidRPr="00BE0F93">
        <w:rPr>
          <w:color w:val="000000" w:themeColor="text1"/>
        </w:rPr>
        <w:t xml:space="preserve"> – </w:t>
      </w:r>
      <w:proofErr w:type="spellStart"/>
      <w:r w:rsidRPr="00BE0F93">
        <w:rPr>
          <w:color w:val="000000" w:themeColor="text1"/>
        </w:rPr>
        <w:t>Ministrija</w:t>
      </w:r>
      <w:proofErr w:type="spellEnd"/>
      <w:r w:rsidRPr="00BE0F93">
        <w:rPr>
          <w:color w:val="000000" w:themeColor="text1"/>
        </w:rPr>
        <w:t xml:space="preserve">), </w:t>
      </w:r>
      <w:proofErr w:type="spellStart"/>
      <w:r w:rsidRPr="00BE0F93">
        <w:rPr>
          <w:color w:val="000000" w:themeColor="text1"/>
        </w:rPr>
        <w:t>tās</w:t>
      </w:r>
      <w:proofErr w:type="spellEnd"/>
      <w:r w:rsidRPr="00BE0F93">
        <w:rPr>
          <w:color w:val="000000" w:themeColor="text1"/>
        </w:rPr>
        <w:t xml:space="preserve"> </w:t>
      </w:r>
      <w:proofErr w:type="spellStart"/>
      <w:r w:rsidRPr="00BE0F93">
        <w:rPr>
          <w:color w:val="000000" w:themeColor="text1"/>
        </w:rPr>
        <w:t>valsts</w:t>
      </w:r>
      <w:proofErr w:type="spellEnd"/>
      <w:r w:rsidRPr="00BE0F93">
        <w:rPr>
          <w:color w:val="000000" w:themeColor="text1"/>
        </w:rPr>
        <w:t xml:space="preserve"> </w:t>
      </w:r>
      <w:proofErr w:type="spellStart"/>
      <w:r w:rsidRPr="00BE0F93">
        <w:rPr>
          <w:color w:val="000000" w:themeColor="text1"/>
        </w:rPr>
        <w:t>sekretāra</w:t>
      </w:r>
      <w:proofErr w:type="spellEnd"/>
      <w:r w:rsidRPr="00BE0F93">
        <w:rPr>
          <w:color w:val="000000" w:themeColor="text1"/>
        </w:rPr>
        <w:t xml:space="preserve"> </w:t>
      </w:r>
      <w:proofErr w:type="spellStart"/>
      <w:r w:rsidRPr="00BE0F93">
        <w:rPr>
          <w:color w:val="000000" w:themeColor="text1"/>
        </w:rPr>
        <w:t>Jāņa</w:t>
      </w:r>
      <w:proofErr w:type="spellEnd"/>
      <w:r w:rsidRPr="00BE0F93">
        <w:rPr>
          <w:color w:val="000000" w:themeColor="text1"/>
        </w:rPr>
        <w:t xml:space="preserve"> </w:t>
      </w:r>
      <w:proofErr w:type="spellStart"/>
      <w:r w:rsidRPr="00BE0F93">
        <w:rPr>
          <w:color w:val="000000" w:themeColor="text1"/>
        </w:rPr>
        <w:t>Volberta</w:t>
      </w:r>
      <w:proofErr w:type="spellEnd"/>
      <w:r w:rsidRPr="00BE0F93">
        <w:rPr>
          <w:color w:val="000000" w:themeColor="text1"/>
        </w:rPr>
        <w:t xml:space="preserve"> </w:t>
      </w:r>
      <w:proofErr w:type="spellStart"/>
      <w:r w:rsidRPr="00BE0F93">
        <w:rPr>
          <w:color w:val="000000" w:themeColor="text1"/>
        </w:rPr>
        <w:t>personā</w:t>
      </w:r>
      <w:proofErr w:type="spellEnd"/>
      <w:r w:rsidRPr="00BE0F93">
        <w:rPr>
          <w:color w:val="000000" w:themeColor="text1"/>
        </w:rPr>
        <w:t xml:space="preserve">, </w:t>
      </w:r>
      <w:proofErr w:type="spellStart"/>
      <w:r w:rsidRPr="00BE0F93">
        <w:t>kurš</w:t>
      </w:r>
      <w:proofErr w:type="spellEnd"/>
      <w:r w:rsidRPr="00BE0F93">
        <w:t xml:space="preserve"> </w:t>
      </w:r>
      <w:proofErr w:type="spellStart"/>
      <w:r w:rsidRPr="00BE0F93">
        <w:t>rīkojas</w:t>
      </w:r>
      <w:proofErr w:type="spellEnd"/>
      <w:r w:rsidRPr="00BE0F93">
        <w:t xml:space="preserve"> </w:t>
      </w:r>
      <w:proofErr w:type="spellStart"/>
      <w:r w:rsidRPr="00BE0F93">
        <w:t>pamatojoties</w:t>
      </w:r>
      <w:proofErr w:type="spellEnd"/>
      <w:r w:rsidRPr="00BE0F93">
        <w:t xml:space="preserve"> </w:t>
      </w:r>
      <w:proofErr w:type="spellStart"/>
      <w:r w:rsidRPr="00BE0F93">
        <w:t>uz</w:t>
      </w:r>
      <w:proofErr w:type="spellEnd"/>
      <w:r w:rsidRPr="00BE0F93">
        <w:rPr>
          <w:kern w:val="1"/>
        </w:rPr>
        <w:t xml:space="preserve"> </w:t>
      </w:r>
      <w:proofErr w:type="spellStart"/>
      <w:r w:rsidRPr="00BE0F93">
        <w:t>Ministru</w:t>
      </w:r>
      <w:proofErr w:type="spellEnd"/>
      <w:r w:rsidRPr="00BE0F93">
        <w:t xml:space="preserve"> </w:t>
      </w:r>
      <w:proofErr w:type="spellStart"/>
      <w:r w:rsidRPr="00BE0F93">
        <w:t>kabineta</w:t>
      </w:r>
      <w:proofErr w:type="spellEnd"/>
      <w:r w:rsidRPr="00BE0F93">
        <w:t xml:space="preserve"> 2003. </w:t>
      </w:r>
      <w:proofErr w:type="spellStart"/>
      <w:r w:rsidRPr="00BE0F93">
        <w:t>gada</w:t>
      </w:r>
      <w:proofErr w:type="spellEnd"/>
      <w:r w:rsidRPr="00BE0F93">
        <w:t xml:space="preserve"> 16. </w:t>
      </w:r>
      <w:proofErr w:type="spellStart"/>
      <w:r w:rsidRPr="00BE0F93">
        <w:t>septembra</w:t>
      </w:r>
      <w:proofErr w:type="spellEnd"/>
      <w:r w:rsidRPr="00BE0F93">
        <w:t xml:space="preserve"> </w:t>
      </w:r>
      <w:proofErr w:type="spellStart"/>
      <w:r w:rsidRPr="00BE0F93">
        <w:t>noteikumiem</w:t>
      </w:r>
      <w:proofErr w:type="spellEnd"/>
      <w:r w:rsidRPr="00BE0F93">
        <w:t xml:space="preserve"> Nr. 528 „Izglītības un </w:t>
      </w:r>
      <w:proofErr w:type="spellStart"/>
      <w:r w:rsidRPr="00BE0F93">
        <w:t>zinātnes</w:t>
      </w:r>
      <w:proofErr w:type="spellEnd"/>
      <w:r w:rsidRPr="00BE0F93">
        <w:t xml:space="preserve"> </w:t>
      </w:r>
      <w:proofErr w:type="spellStart"/>
      <w:r w:rsidRPr="00BE0F93">
        <w:t>ministrijas</w:t>
      </w:r>
      <w:proofErr w:type="spellEnd"/>
      <w:r w:rsidRPr="00BE0F93">
        <w:t xml:space="preserve"> </w:t>
      </w:r>
      <w:proofErr w:type="spellStart"/>
      <w:r w:rsidRPr="00BE0F93">
        <w:t>nolikums</w:t>
      </w:r>
      <w:proofErr w:type="spellEnd"/>
      <w:r w:rsidRPr="00BE0F93">
        <w:t xml:space="preserve">”, no </w:t>
      </w:r>
      <w:proofErr w:type="spellStart"/>
      <w:r w:rsidRPr="00BE0F93">
        <w:t>vienas</w:t>
      </w:r>
      <w:proofErr w:type="spellEnd"/>
      <w:r w:rsidRPr="00BE0F93">
        <w:t xml:space="preserve"> </w:t>
      </w:r>
      <w:proofErr w:type="spellStart"/>
      <w:r w:rsidRPr="00BE0F93">
        <w:t>puses</w:t>
      </w:r>
      <w:proofErr w:type="spellEnd"/>
      <w:r w:rsidRPr="00BE0F93">
        <w:t xml:space="preserve">, </w:t>
      </w:r>
    </w:p>
    <w:p w14:paraId="3AD42F20" w14:textId="77777777" w:rsidR="00BE0F93" w:rsidRPr="00BE0F93" w:rsidRDefault="00BE0F93" w:rsidP="00BE0F93">
      <w:pPr>
        <w:spacing w:line="276" w:lineRule="auto"/>
        <w:jc w:val="both"/>
        <w:rPr>
          <w:bCs/>
          <w:iCs/>
          <w:lang w:eastAsia="lv-LV"/>
        </w:rPr>
      </w:pPr>
      <w:r w:rsidRPr="00BE0F93">
        <w:rPr>
          <w:b/>
          <w:bCs/>
        </w:rPr>
        <w:t>SIA “_____________”</w:t>
      </w:r>
      <w:r w:rsidRPr="00BE0F93">
        <w:rPr>
          <w:bCs/>
          <w:color w:val="000000" w:themeColor="text1"/>
        </w:rPr>
        <w:t xml:space="preserve">, </w:t>
      </w:r>
      <w:proofErr w:type="spellStart"/>
      <w:r w:rsidRPr="00BE0F93">
        <w:rPr>
          <w:bCs/>
          <w:color w:val="000000" w:themeColor="text1"/>
        </w:rPr>
        <w:t>reģistrācijas</w:t>
      </w:r>
      <w:proofErr w:type="spellEnd"/>
      <w:r w:rsidRPr="00BE0F93">
        <w:rPr>
          <w:bCs/>
          <w:color w:val="000000" w:themeColor="text1"/>
        </w:rPr>
        <w:t xml:space="preserve"> Nr._______________ (</w:t>
      </w:r>
      <w:proofErr w:type="spellStart"/>
      <w:r w:rsidRPr="00BE0F93">
        <w:rPr>
          <w:bCs/>
          <w:color w:val="000000" w:themeColor="text1"/>
        </w:rPr>
        <w:t>turpmāk</w:t>
      </w:r>
      <w:proofErr w:type="spellEnd"/>
      <w:r w:rsidRPr="00BE0F93">
        <w:rPr>
          <w:bCs/>
          <w:color w:val="000000" w:themeColor="text1"/>
        </w:rPr>
        <w:t xml:space="preserve"> – </w:t>
      </w:r>
      <w:proofErr w:type="spellStart"/>
      <w:r w:rsidRPr="00BE0F93">
        <w:rPr>
          <w:bCs/>
          <w:color w:val="000000" w:themeColor="text1"/>
        </w:rPr>
        <w:t>Izpildītājs</w:t>
      </w:r>
      <w:proofErr w:type="spellEnd"/>
      <w:r w:rsidRPr="00BE0F93">
        <w:rPr>
          <w:bCs/>
          <w:color w:val="000000" w:themeColor="text1"/>
        </w:rPr>
        <w:t xml:space="preserve">), </w:t>
      </w:r>
      <w:proofErr w:type="spellStart"/>
      <w:r w:rsidRPr="00BE0F93">
        <w:rPr>
          <w:color w:val="000000" w:themeColor="text1"/>
        </w:rPr>
        <w:t>tās</w:t>
      </w:r>
      <w:proofErr w:type="spellEnd"/>
      <w:r w:rsidRPr="00BE0F93">
        <w:rPr>
          <w:color w:val="000000" w:themeColor="text1"/>
        </w:rPr>
        <w:t xml:space="preserve"> </w:t>
      </w:r>
      <w:proofErr w:type="spellStart"/>
      <w:r w:rsidRPr="00BE0F93">
        <w:rPr>
          <w:color w:val="000000" w:themeColor="text1"/>
        </w:rPr>
        <w:t>valdes</w:t>
      </w:r>
      <w:proofErr w:type="spellEnd"/>
      <w:r w:rsidRPr="00BE0F93">
        <w:rPr>
          <w:color w:val="000000" w:themeColor="text1"/>
        </w:rPr>
        <w:t xml:space="preserve"> </w:t>
      </w:r>
      <w:proofErr w:type="spellStart"/>
      <w:r w:rsidRPr="00BE0F93">
        <w:rPr>
          <w:color w:val="000000" w:themeColor="text1"/>
        </w:rPr>
        <w:t>locekļa</w:t>
      </w:r>
      <w:proofErr w:type="spellEnd"/>
      <w:r w:rsidRPr="00BE0F93">
        <w:rPr>
          <w:color w:val="000000" w:themeColor="text1"/>
        </w:rPr>
        <w:t xml:space="preserve">                 </w:t>
      </w:r>
      <w:r w:rsidRPr="00BE0F93">
        <w:t xml:space="preserve"> </w:t>
      </w:r>
      <w:proofErr w:type="spellStart"/>
      <w:r w:rsidRPr="00BE0F93">
        <w:rPr>
          <w:color w:val="000000" w:themeColor="text1"/>
        </w:rPr>
        <w:t>personā</w:t>
      </w:r>
      <w:proofErr w:type="spellEnd"/>
      <w:r w:rsidRPr="00BE0F93">
        <w:rPr>
          <w:color w:val="000000" w:themeColor="text1"/>
        </w:rPr>
        <w:t xml:space="preserve">, </w:t>
      </w:r>
      <w:proofErr w:type="spellStart"/>
      <w:r w:rsidRPr="00BE0F93">
        <w:rPr>
          <w:color w:val="000000" w:themeColor="text1"/>
        </w:rPr>
        <w:t>kurš</w:t>
      </w:r>
      <w:proofErr w:type="spellEnd"/>
      <w:r w:rsidRPr="00BE0F93">
        <w:rPr>
          <w:color w:val="000000" w:themeColor="text1"/>
        </w:rPr>
        <w:t xml:space="preserve"> </w:t>
      </w:r>
      <w:proofErr w:type="spellStart"/>
      <w:r w:rsidRPr="00BE0F93">
        <w:rPr>
          <w:color w:val="000000" w:themeColor="text1"/>
        </w:rPr>
        <w:t>rīkojas</w:t>
      </w:r>
      <w:proofErr w:type="spellEnd"/>
      <w:r w:rsidRPr="00BE0F93">
        <w:rPr>
          <w:color w:val="000000" w:themeColor="text1"/>
        </w:rPr>
        <w:t xml:space="preserve"> </w:t>
      </w:r>
      <w:proofErr w:type="spellStart"/>
      <w:r w:rsidRPr="00BE0F93">
        <w:rPr>
          <w:color w:val="000000" w:themeColor="text1"/>
        </w:rPr>
        <w:t>pamatojoties</w:t>
      </w:r>
      <w:proofErr w:type="spellEnd"/>
      <w:r w:rsidRPr="00BE0F93">
        <w:rPr>
          <w:color w:val="000000" w:themeColor="text1"/>
        </w:rPr>
        <w:t xml:space="preserve"> </w:t>
      </w:r>
      <w:proofErr w:type="spellStart"/>
      <w:r w:rsidRPr="00BE0F93">
        <w:rPr>
          <w:color w:val="000000" w:themeColor="text1"/>
        </w:rPr>
        <w:t>uz</w:t>
      </w:r>
      <w:proofErr w:type="spellEnd"/>
      <w:r w:rsidRPr="00BE0F93">
        <w:rPr>
          <w:color w:val="000000" w:themeColor="text1"/>
        </w:rPr>
        <w:t xml:space="preserve"> </w:t>
      </w:r>
      <w:proofErr w:type="spellStart"/>
      <w:r w:rsidRPr="00BE0F93">
        <w:rPr>
          <w:color w:val="000000" w:themeColor="text1"/>
        </w:rPr>
        <w:t>sabiedrības</w:t>
      </w:r>
      <w:proofErr w:type="spellEnd"/>
      <w:r w:rsidRPr="00BE0F93">
        <w:rPr>
          <w:color w:val="000000" w:themeColor="text1"/>
        </w:rPr>
        <w:t xml:space="preserve"> </w:t>
      </w:r>
      <w:proofErr w:type="spellStart"/>
      <w:r w:rsidRPr="00BE0F93">
        <w:rPr>
          <w:color w:val="000000" w:themeColor="text1"/>
        </w:rPr>
        <w:t>statūtu</w:t>
      </w:r>
      <w:proofErr w:type="spellEnd"/>
      <w:r w:rsidRPr="00BE0F93">
        <w:rPr>
          <w:color w:val="000000" w:themeColor="text1"/>
        </w:rPr>
        <w:t xml:space="preserve"> </w:t>
      </w:r>
      <w:proofErr w:type="spellStart"/>
      <w:r w:rsidRPr="00BE0F93">
        <w:rPr>
          <w:color w:val="000000" w:themeColor="text1"/>
        </w:rPr>
        <w:t>pamata</w:t>
      </w:r>
      <w:proofErr w:type="spellEnd"/>
      <w:r w:rsidRPr="00BE0F93">
        <w:rPr>
          <w:color w:val="000000" w:themeColor="text1"/>
        </w:rPr>
        <w:t xml:space="preserve">, no </w:t>
      </w:r>
      <w:proofErr w:type="spellStart"/>
      <w:r w:rsidRPr="00BE0F93">
        <w:rPr>
          <w:color w:val="000000" w:themeColor="text1"/>
        </w:rPr>
        <w:t>otras</w:t>
      </w:r>
      <w:proofErr w:type="spellEnd"/>
      <w:r w:rsidRPr="00BE0F93">
        <w:rPr>
          <w:color w:val="000000" w:themeColor="text1"/>
        </w:rPr>
        <w:t xml:space="preserve"> </w:t>
      </w:r>
      <w:proofErr w:type="spellStart"/>
      <w:r w:rsidRPr="00BE0F93">
        <w:rPr>
          <w:color w:val="000000" w:themeColor="text1"/>
        </w:rPr>
        <w:t>puses</w:t>
      </w:r>
      <w:proofErr w:type="spellEnd"/>
      <w:r w:rsidRPr="00BE0F93">
        <w:rPr>
          <w:color w:val="000000" w:themeColor="text1"/>
        </w:rPr>
        <w:t xml:space="preserve">, </w:t>
      </w:r>
      <w:proofErr w:type="spellStart"/>
      <w:r w:rsidRPr="00BE0F93">
        <w:rPr>
          <w:color w:val="000000" w:themeColor="text1"/>
        </w:rPr>
        <w:t>abi</w:t>
      </w:r>
      <w:proofErr w:type="spellEnd"/>
      <w:r w:rsidRPr="00BE0F93">
        <w:rPr>
          <w:color w:val="000000" w:themeColor="text1"/>
        </w:rPr>
        <w:t xml:space="preserve"> </w:t>
      </w:r>
      <w:proofErr w:type="spellStart"/>
      <w:r w:rsidRPr="00BE0F93">
        <w:rPr>
          <w:color w:val="000000" w:themeColor="text1"/>
        </w:rPr>
        <w:t>kopā</w:t>
      </w:r>
      <w:proofErr w:type="spellEnd"/>
      <w:r w:rsidRPr="00BE0F93">
        <w:rPr>
          <w:color w:val="000000" w:themeColor="text1"/>
        </w:rPr>
        <w:t xml:space="preserve"> </w:t>
      </w:r>
      <w:proofErr w:type="spellStart"/>
      <w:r w:rsidRPr="00BE0F93">
        <w:rPr>
          <w:color w:val="000000" w:themeColor="text1"/>
        </w:rPr>
        <w:t>vai</w:t>
      </w:r>
      <w:proofErr w:type="spellEnd"/>
      <w:r w:rsidRPr="00BE0F93">
        <w:rPr>
          <w:color w:val="000000" w:themeColor="text1"/>
        </w:rPr>
        <w:t xml:space="preserve"> </w:t>
      </w:r>
      <w:proofErr w:type="spellStart"/>
      <w:r w:rsidRPr="00BE0F93">
        <w:rPr>
          <w:color w:val="000000" w:themeColor="text1"/>
        </w:rPr>
        <w:t>katrs</w:t>
      </w:r>
      <w:proofErr w:type="spellEnd"/>
      <w:r w:rsidRPr="00BE0F93">
        <w:rPr>
          <w:color w:val="000000" w:themeColor="text1"/>
        </w:rPr>
        <w:t xml:space="preserve"> </w:t>
      </w:r>
      <w:proofErr w:type="spellStart"/>
      <w:r w:rsidRPr="00BE0F93">
        <w:rPr>
          <w:color w:val="000000" w:themeColor="text1"/>
        </w:rPr>
        <w:t>atsevišķi</w:t>
      </w:r>
      <w:proofErr w:type="spellEnd"/>
      <w:r w:rsidRPr="00BE0F93">
        <w:rPr>
          <w:color w:val="000000" w:themeColor="text1"/>
        </w:rPr>
        <w:t xml:space="preserve"> </w:t>
      </w:r>
      <w:proofErr w:type="spellStart"/>
      <w:r w:rsidRPr="00BE0F93">
        <w:rPr>
          <w:color w:val="000000" w:themeColor="text1"/>
        </w:rPr>
        <w:t>turpmāk</w:t>
      </w:r>
      <w:proofErr w:type="spellEnd"/>
      <w:r w:rsidRPr="00BE0F93">
        <w:rPr>
          <w:color w:val="000000" w:themeColor="text1"/>
        </w:rPr>
        <w:t xml:space="preserve"> – </w:t>
      </w:r>
      <w:proofErr w:type="spellStart"/>
      <w:r w:rsidRPr="00BE0F93">
        <w:rPr>
          <w:color w:val="000000" w:themeColor="text1"/>
        </w:rPr>
        <w:t>Puses</w:t>
      </w:r>
      <w:proofErr w:type="spellEnd"/>
      <w:r w:rsidRPr="00BE0F93">
        <w:rPr>
          <w:color w:val="000000" w:themeColor="text1"/>
        </w:rPr>
        <w:t xml:space="preserve"> </w:t>
      </w:r>
      <w:proofErr w:type="spellStart"/>
      <w:r w:rsidRPr="00BE0F93">
        <w:rPr>
          <w:color w:val="000000" w:themeColor="text1"/>
        </w:rPr>
        <w:t>vai</w:t>
      </w:r>
      <w:proofErr w:type="spellEnd"/>
      <w:r w:rsidRPr="00BE0F93">
        <w:rPr>
          <w:color w:val="000000" w:themeColor="text1"/>
        </w:rPr>
        <w:t xml:space="preserve"> </w:t>
      </w:r>
      <w:proofErr w:type="spellStart"/>
      <w:r w:rsidRPr="00BE0F93">
        <w:rPr>
          <w:color w:val="000000" w:themeColor="text1"/>
        </w:rPr>
        <w:t>Puse</w:t>
      </w:r>
      <w:proofErr w:type="spellEnd"/>
      <w:r w:rsidRPr="00BE0F93">
        <w:rPr>
          <w:color w:val="000000" w:themeColor="text1"/>
        </w:rPr>
        <w:t xml:space="preserve">, </w:t>
      </w:r>
      <w:proofErr w:type="spellStart"/>
      <w:r w:rsidRPr="00BE0F93">
        <w:rPr>
          <w:color w:val="000000" w:themeColor="text1"/>
        </w:rPr>
        <w:t>pamatojoties</w:t>
      </w:r>
      <w:proofErr w:type="spellEnd"/>
      <w:r w:rsidRPr="00BE0F93">
        <w:rPr>
          <w:color w:val="000000" w:themeColor="text1"/>
        </w:rPr>
        <w:t xml:space="preserve"> </w:t>
      </w:r>
      <w:proofErr w:type="spellStart"/>
      <w:r w:rsidRPr="00BE0F93">
        <w:rPr>
          <w:color w:val="000000" w:themeColor="text1"/>
        </w:rPr>
        <w:t>uz</w:t>
      </w:r>
      <w:proofErr w:type="spellEnd"/>
      <w:r w:rsidRPr="00BE0F93">
        <w:rPr>
          <w:color w:val="000000" w:themeColor="text1"/>
        </w:rPr>
        <w:t xml:space="preserve"> </w:t>
      </w:r>
      <w:proofErr w:type="spellStart"/>
      <w:r w:rsidRPr="00BE0F93">
        <w:rPr>
          <w:color w:val="000000" w:themeColor="text1"/>
        </w:rPr>
        <w:t>cenu</w:t>
      </w:r>
      <w:proofErr w:type="spellEnd"/>
      <w:r w:rsidRPr="00BE0F93">
        <w:rPr>
          <w:color w:val="000000" w:themeColor="text1"/>
        </w:rPr>
        <w:t xml:space="preserve"> </w:t>
      </w:r>
      <w:proofErr w:type="spellStart"/>
      <w:r w:rsidRPr="00BE0F93">
        <w:rPr>
          <w:color w:val="000000" w:themeColor="text1"/>
        </w:rPr>
        <w:t>aptaujas</w:t>
      </w:r>
      <w:proofErr w:type="spellEnd"/>
      <w:r w:rsidRPr="00BE0F93">
        <w:rPr>
          <w:color w:val="000000" w:themeColor="text1"/>
        </w:rPr>
        <w:t xml:space="preserve"> </w:t>
      </w:r>
      <w:proofErr w:type="spellStart"/>
      <w:r w:rsidRPr="00BE0F93">
        <w:rPr>
          <w:color w:val="000000" w:themeColor="text1"/>
        </w:rPr>
        <w:t>rezultātiem</w:t>
      </w:r>
      <w:proofErr w:type="spellEnd"/>
      <w:r w:rsidRPr="00BE0F93">
        <w:rPr>
          <w:color w:val="000000" w:themeColor="text1"/>
        </w:rPr>
        <w:t xml:space="preserve">, par </w:t>
      </w:r>
      <w:bookmarkStart w:id="1" w:name="_Hlk69488465"/>
      <w:proofErr w:type="spellStart"/>
      <w:r w:rsidRPr="00BE0F93">
        <w:rPr>
          <w:bCs/>
          <w:lang w:eastAsia="lv-LV"/>
        </w:rPr>
        <w:t>tirgus</w:t>
      </w:r>
      <w:proofErr w:type="spellEnd"/>
      <w:r w:rsidRPr="00BE0F93">
        <w:rPr>
          <w:bCs/>
          <w:lang w:eastAsia="lv-LV"/>
        </w:rPr>
        <w:t xml:space="preserve"> </w:t>
      </w:r>
      <w:proofErr w:type="spellStart"/>
      <w:r w:rsidRPr="00BE0F93">
        <w:rPr>
          <w:bCs/>
          <w:lang w:eastAsia="lv-LV"/>
        </w:rPr>
        <w:t>vērtības</w:t>
      </w:r>
      <w:proofErr w:type="spellEnd"/>
      <w:r w:rsidRPr="00BE0F93">
        <w:rPr>
          <w:bCs/>
          <w:lang w:eastAsia="lv-LV"/>
        </w:rPr>
        <w:t xml:space="preserve"> un </w:t>
      </w:r>
      <w:proofErr w:type="spellStart"/>
      <w:r w:rsidRPr="00BE0F93">
        <w:rPr>
          <w:bCs/>
          <w:lang w:eastAsia="lv-LV"/>
        </w:rPr>
        <w:t>zaudējumu</w:t>
      </w:r>
      <w:proofErr w:type="spellEnd"/>
      <w:r w:rsidRPr="00BE0F93">
        <w:rPr>
          <w:bCs/>
          <w:lang w:eastAsia="lv-LV"/>
        </w:rPr>
        <w:t xml:space="preserve"> </w:t>
      </w:r>
      <w:proofErr w:type="spellStart"/>
      <w:r w:rsidRPr="00BE0F93">
        <w:rPr>
          <w:bCs/>
          <w:lang w:eastAsia="lv-LV"/>
        </w:rPr>
        <w:t>apmēra</w:t>
      </w:r>
      <w:proofErr w:type="spellEnd"/>
      <w:r w:rsidRPr="00BE0F93">
        <w:rPr>
          <w:bCs/>
          <w:lang w:eastAsia="lv-LV"/>
        </w:rPr>
        <w:t xml:space="preserve"> </w:t>
      </w:r>
      <w:proofErr w:type="spellStart"/>
      <w:r w:rsidRPr="00BE0F93">
        <w:rPr>
          <w:bCs/>
          <w:lang w:eastAsia="lv-LV"/>
        </w:rPr>
        <w:t>noteikšanu</w:t>
      </w:r>
      <w:proofErr w:type="spellEnd"/>
      <w:r w:rsidRPr="00BE0F93">
        <w:rPr>
          <w:bCs/>
          <w:lang w:eastAsia="lv-LV"/>
        </w:rPr>
        <w:t xml:space="preserve"> </w:t>
      </w:r>
      <w:proofErr w:type="spellStart"/>
      <w:r w:rsidRPr="00BE0F93">
        <w:rPr>
          <w:bCs/>
          <w:iCs/>
          <w:lang w:eastAsia="lv-LV"/>
        </w:rPr>
        <w:t>Sabiedrības</w:t>
      </w:r>
      <w:proofErr w:type="spellEnd"/>
      <w:r w:rsidRPr="00BE0F93">
        <w:rPr>
          <w:bCs/>
          <w:iCs/>
          <w:lang w:eastAsia="lv-LV"/>
        </w:rPr>
        <w:t xml:space="preserve"> </w:t>
      </w:r>
      <w:proofErr w:type="spellStart"/>
      <w:r w:rsidRPr="00BE0F93">
        <w:rPr>
          <w:bCs/>
          <w:iCs/>
          <w:lang w:eastAsia="lv-LV"/>
        </w:rPr>
        <w:t>vajadzībām</w:t>
      </w:r>
      <w:proofErr w:type="spellEnd"/>
      <w:r w:rsidRPr="00BE0F93">
        <w:rPr>
          <w:bCs/>
          <w:iCs/>
          <w:lang w:eastAsia="lv-LV"/>
        </w:rPr>
        <w:t xml:space="preserve"> </w:t>
      </w:r>
      <w:proofErr w:type="spellStart"/>
      <w:r w:rsidRPr="00BE0F93">
        <w:rPr>
          <w:bCs/>
          <w:iCs/>
          <w:lang w:eastAsia="lv-LV"/>
        </w:rPr>
        <w:t>nepieciešamā</w:t>
      </w:r>
      <w:proofErr w:type="spellEnd"/>
      <w:r w:rsidRPr="00BE0F93">
        <w:rPr>
          <w:bCs/>
          <w:iCs/>
          <w:lang w:eastAsia="lv-LV"/>
        </w:rPr>
        <w:t xml:space="preserve"> </w:t>
      </w:r>
      <w:proofErr w:type="spellStart"/>
      <w:r w:rsidRPr="00BE0F93">
        <w:rPr>
          <w:bCs/>
          <w:iCs/>
          <w:lang w:eastAsia="lv-LV"/>
        </w:rPr>
        <w:t>nekustamā</w:t>
      </w:r>
      <w:proofErr w:type="spellEnd"/>
      <w:r w:rsidRPr="00BE0F93">
        <w:rPr>
          <w:bCs/>
          <w:iCs/>
          <w:lang w:eastAsia="lv-LV"/>
        </w:rPr>
        <w:t xml:space="preserve"> </w:t>
      </w:r>
      <w:proofErr w:type="spellStart"/>
      <w:r w:rsidRPr="00BE0F93">
        <w:rPr>
          <w:bCs/>
          <w:iCs/>
          <w:lang w:eastAsia="lv-LV"/>
        </w:rPr>
        <w:t>īpašuma</w:t>
      </w:r>
      <w:proofErr w:type="spellEnd"/>
      <w:r w:rsidRPr="00BE0F93">
        <w:rPr>
          <w:bCs/>
          <w:iCs/>
          <w:lang w:eastAsia="lv-LV"/>
        </w:rPr>
        <w:t xml:space="preserve"> </w:t>
      </w:r>
      <w:proofErr w:type="spellStart"/>
      <w:r w:rsidRPr="00BE0F93">
        <w:rPr>
          <w:bCs/>
          <w:iCs/>
          <w:lang w:eastAsia="lv-LV"/>
        </w:rPr>
        <w:t>atsavināšanas</w:t>
      </w:r>
      <w:proofErr w:type="spellEnd"/>
      <w:r w:rsidRPr="00BE0F93">
        <w:rPr>
          <w:bCs/>
          <w:iCs/>
          <w:lang w:eastAsia="lv-LV"/>
        </w:rPr>
        <w:t xml:space="preserve"> </w:t>
      </w:r>
      <w:proofErr w:type="spellStart"/>
      <w:r w:rsidRPr="00BE0F93">
        <w:rPr>
          <w:bCs/>
          <w:iCs/>
          <w:lang w:eastAsia="lv-LV"/>
        </w:rPr>
        <w:t>likuma</w:t>
      </w:r>
      <w:proofErr w:type="spellEnd"/>
      <w:r w:rsidRPr="00BE0F93">
        <w:rPr>
          <w:bCs/>
          <w:iCs/>
          <w:lang w:eastAsia="lv-LV"/>
        </w:rPr>
        <w:t xml:space="preserve"> </w:t>
      </w:r>
      <w:proofErr w:type="spellStart"/>
      <w:r w:rsidRPr="00BE0F93">
        <w:rPr>
          <w:bCs/>
          <w:iCs/>
          <w:lang w:eastAsia="lv-LV"/>
        </w:rPr>
        <w:t>izpratnē</w:t>
      </w:r>
      <w:bookmarkEnd w:id="1"/>
      <w:proofErr w:type="spellEnd"/>
      <w:r w:rsidRPr="00BE0F93">
        <w:rPr>
          <w:bCs/>
          <w:iCs/>
          <w:lang w:eastAsia="lv-LV"/>
        </w:rPr>
        <w:t xml:space="preserve">, </w:t>
      </w:r>
      <w:proofErr w:type="spellStart"/>
      <w:r w:rsidRPr="00BE0F93">
        <w:rPr>
          <w:color w:val="000000" w:themeColor="text1"/>
        </w:rPr>
        <w:t>noslēdz</w:t>
      </w:r>
      <w:proofErr w:type="spellEnd"/>
      <w:r w:rsidRPr="00BE0F93">
        <w:rPr>
          <w:color w:val="000000" w:themeColor="text1"/>
        </w:rPr>
        <w:t xml:space="preserve"> </w:t>
      </w:r>
      <w:proofErr w:type="spellStart"/>
      <w:r w:rsidRPr="00BE0F93">
        <w:t>šādu</w:t>
      </w:r>
      <w:proofErr w:type="spellEnd"/>
      <w:r w:rsidRPr="00BE0F93">
        <w:t xml:space="preserve"> </w:t>
      </w:r>
      <w:proofErr w:type="spellStart"/>
      <w:r w:rsidRPr="00BE0F93">
        <w:t>pakalpojuma</w:t>
      </w:r>
      <w:proofErr w:type="spellEnd"/>
      <w:r w:rsidRPr="00BE0F93">
        <w:t xml:space="preserve"> </w:t>
      </w:r>
      <w:proofErr w:type="spellStart"/>
      <w:r w:rsidRPr="00BE0F93">
        <w:t>līgumu</w:t>
      </w:r>
      <w:proofErr w:type="spellEnd"/>
      <w:r w:rsidRPr="00BE0F93">
        <w:t xml:space="preserve"> (</w:t>
      </w:r>
      <w:proofErr w:type="spellStart"/>
      <w:r w:rsidRPr="00BE0F93">
        <w:t>turpmāk</w:t>
      </w:r>
      <w:proofErr w:type="spellEnd"/>
      <w:r w:rsidRPr="00BE0F93">
        <w:t xml:space="preserve"> – </w:t>
      </w:r>
      <w:proofErr w:type="spellStart"/>
      <w:r w:rsidRPr="00BE0F93">
        <w:t>Līgums</w:t>
      </w:r>
      <w:proofErr w:type="spellEnd"/>
      <w:r w:rsidRPr="00BE0F93">
        <w:t>):</w:t>
      </w:r>
    </w:p>
    <w:p w14:paraId="7920B610"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LĪGUMA PRIEKŠMETS</w:t>
      </w:r>
    </w:p>
    <w:p w14:paraId="76F5830A" w14:textId="77777777" w:rsidR="00BE0F93" w:rsidRPr="00BE0F93" w:rsidRDefault="00BE0F93" w:rsidP="00BE0F93">
      <w:pPr>
        <w:pStyle w:val="ListParagraph"/>
        <w:jc w:val="both"/>
        <w:rPr>
          <w:rFonts w:ascii="Times New Roman" w:hAnsi="Times New Roman"/>
          <w:color w:val="000000" w:themeColor="text1"/>
          <w:sz w:val="24"/>
          <w:szCs w:val="24"/>
        </w:rPr>
      </w:pPr>
    </w:p>
    <w:p w14:paraId="43B100F5" w14:textId="77777777" w:rsidR="00BE0F93" w:rsidRPr="00BE0F93" w:rsidRDefault="00BE0F93" w:rsidP="00BE0F93">
      <w:pPr>
        <w:pStyle w:val="ListParagraph"/>
        <w:numPr>
          <w:ilvl w:val="1"/>
          <w:numId w:val="27"/>
        </w:numPr>
        <w:spacing w:after="0"/>
        <w:jc w:val="both"/>
        <w:rPr>
          <w:rFonts w:ascii="Times New Roman" w:hAnsi="Times New Roman"/>
          <w:color w:val="000000" w:themeColor="text1"/>
          <w:sz w:val="24"/>
          <w:szCs w:val="24"/>
        </w:rPr>
      </w:pPr>
      <w:r w:rsidRPr="00BE0F93">
        <w:rPr>
          <w:rFonts w:ascii="Times New Roman" w:hAnsi="Times New Roman"/>
          <w:color w:val="000000" w:themeColor="text1"/>
          <w:sz w:val="24"/>
          <w:szCs w:val="24"/>
        </w:rPr>
        <w:t xml:space="preserve"> Pasūtītājs uzdod un Izpildītājs apņemas saskaņā ar Līguma un tā pielikumā “Tehniskā specifikācija” noteiktajām prasībām veikt</w:t>
      </w:r>
      <w:r w:rsidRPr="00BE0F93">
        <w:rPr>
          <w:rFonts w:ascii="Times New Roman" w:hAnsi="Times New Roman"/>
          <w:sz w:val="24"/>
          <w:szCs w:val="24"/>
          <w:lang w:eastAsia="lv-LV"/>
        </w:rPr>
        <w:t xml:space="preserve"> _____________________________</w:t>
      </w:r>
      <w:r w:rsidRPr="00BE0F93">
        <w:rPr>
          <w:rFonts w:ascii="Times New Roman" w:hAnsi="Times New Roman"/>
          <w:color w:val="000000" w:themeColor="text1"/>
          <w:sz w:val="24"/>
          <w:szCs w:val="24"/>
        </w:rPr>
        <w:t xml:space="preserve"> (turpmāk tekstā – Darbs).</w:t>
      </w:r>
    </w:p>
    <w:p w14:paraId="787E8740" w14:textId="77777777" w:rsidR="00BE0F93" w:rsidRPr="00BE0F93" w:rsidRDefault="00BE0F93" w:rsidP="00BE0F93">
      <w:pPr>
        <w:pStyle w:val="ListParagraph"/>
        <w:numPr>
          <w:ilvl w:val="1"/>
          <w:numId w:val="27"/>
        </w:numPr>
        <w:spacing w:after="0"/>
        <w:jc w:val="both"/>
        <w:rPr>
          <w:rFonts w:ascii="Times New Roman" w:hAnsi="Times New Roman"/>
          <w:color w:val="000000" w:themeColor="text1"/>
          <w:sz w:val="24"/>
          <w:szCs w:val="24"/>
        </w:rPr>
      </w:pPr>
      <w:r w:rsidRPr="00BE0F93">
        <w:rPr>
          <w:rFonts w:ascii="Times New Roman" w:hAnsi="Times New Roman"/>
          <w:color w:val="000000" w:themeColor="text1"/>
          <w:sz w:val="24"/>
          <w:szCs w:val="24"/>
        </w:rPr>
        <w:t xml:space="preserve">Pasūtītājs apņemas norēķināties par Darbu ar Izpildītāju Līgumā noteiktajā kārtībā un apjomā. </w:t>
      </w:r>
    </w:p>
    <w:p w14:paraId="291790B2" w14:textId="77777777" w:rsidR="00BE0F93" w:rsidRPr="00BE0F93" w:rsidRDefault="00BE0F93" w:rsidP="00BE0F93">
      <w:pPr>
        <w:pStyle w:val="ListParagraph"/>
        <w:ind w:left="1080"/>
        <w:jc w:val="both"/>
        <w:rPr>
          <w:rFonts w:ascii="Times New Roman" w:hAnsi="Times New Roman"/>
          <w:sz w:val="24"/>
          <w:szCs w:val="24"/>
        </w:rPr>
      </w:pPr>
    </w:p>
    <w:p w14:paraId="0816CC9E"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DARBA IZPILDES KĀRTĪBA</w:t>
      </w:r>
    </w:p>
    <w:p w14:paraId="6DB4759B" w14:textId="77777777" w:rsidR="00BE0F93" w:rsidRPr="00BE0F93" w:rsidRDefault="00BE0F93" w:rsidP="00BE0F93">
      <w:pPr>
        <w:pStyle w:val="ListParagraph"/>
        <w:jc w:val="both"/>
        <w:rPr>
          <w:rFonts w:ascii="Times New Roman" w:hAnsi="Times New Roman"/>
          <w:sz w:val="24"/>
          <w:szCs w:val="24"/>
        </w:rPr>
      </w:pPr>
    </w:p>
    <w:p w14:paraId="3F109B98" w14:textId="77777777" w:rsidR="00BE0F93" w:rsidRPr="00BE0F93" w:rsidRDefault="00BE0F93" w:rsidP="00BE0F93">
      <w:pPr>
        <w:pStyle w:val="ListParagraph"/>
        <w:numPr>
          <w:ilvl w:val="1"/>
          <w:numId w:val="27"/>
        </w:numPr>
        <w:suppressAutoHyphens w:val="0"/>
        <w:spacing w:after="160"/>
        <w:jc w:val="both"/>
        <w:rPr>
          <w:rFonts w:ascii="Times New Roman" w:hAnsi="Times New Roman"/>
          <w:sz w:val="24"/>
          <w:szCs w:val="24"/>
        </w:rPr>
      </w:pPr>
      <w:r w:rsidRPr="00BE0F93">
        <w:rPr>
          <w:rFonts w:ascii="Times New Roman" w:hAnsi="Times New Roman"/>
          <w:sz w:val="24"/>
          <w:szCs w:val="24"/>
        </w:rPr>
        <w:t>Izpildītājam Darba izpilde jāuzsāk ___ (________) dienu laikā pēc Līguma abpusējas parakstīšanas.</w:t>
      </w:r>
    </w:p>
    <w:p w14:paraId="7B2DD96D" w14:textId="77777777" w:rsidR="00BE0F93" w:rsidRPr="00BE0F93" w:rsidRDefault="00BE0F93" w:rsidP="00BE0F93">
      <w:pPr>
        <w:pStyle w:val="ListParagraph"/>
        <w:numPr>
          <w:ilvl w:val="1"/>
          <w:numId w:val="27"/>
        </w:numPr>
        <w:suppressAutoHyphens w:val="0"/>
        <w:spacing w:after="160"/>
        <w:jc w:val="both"/>
        <w:rPr>
          <w:rFonts w:ascii="Times New Roman" w:hAnsi="Times New Roman"/>
          <w:sz w:val="24"/>
          <w:szCs w:val="24"/>
        </w:rPr>
      </w:pPr>
      <w:r w:rsidRPr="00BE0F93">
        <w:rPr>
          <w:rFonts w:ascii="Times New Roman" w:hAnsi="Times New Roman"/>
          <w:sz w:val="24"/>
          <w:szCs w:val="24"/>
        </w:rPr>
        <w:t>Izpildītājam Darbs jāpabeidz un jāiesniedz Pasūtītājam</w:t>
      </w:r>
      <w:r w:rsidRPr="00BE0F93">
        <w:rPr>
          <w:rFonts w:ascii="Times New Roman" w:hAnsi="Times New Roman"/>
          <w:bCs/>
          <w:sz w:val="24"/>
          <w:szCs w:val="24"/>
        </w:rPr>
        <w:t xml:space="preserve"> ___ (________________) darba dienu laikā </w:t>
      </w:r>
      <w:r w:rsidRPr="00BE0F93">
        <w:rPr>
          <w:rFonts w:ascii="Times New Roman" w:hAnsi="Times New Roman"/>
          <w:sz w:val="24"/>
          <w:szCs w:val="24"/>
        </w:rPr>
        <w:t>pēc Līguma abpusējas parakstīšanas.</w:t>
      </w:r>
    </w:p>
    <w:p w14:paraId="28FB282E" w14:textId="77777777" w:rsidR="00BE0F93" w:rsidRPr="00BE0F93" w:rsidRDefault="00BE0F93" w:rsidP="00BE0F93">
      <w:pPr>
        <w:pStyle w:val="ListParagraph"/>
        <w:numPr>
          <w:ilvl w:val="1"/>
          <w:numId w:val="27"/>
        </w:numPr>
        <w:suppressAutoHyphens w:val="0"/>
        <w:spacing w:after="160"/>
        <w:jc w:val="both"/>
        <w:rPr>
          <w:rFonts w:ascii="Times New Roman" w:hAnsi="Times New Roman"/>
          <w:sz w:val="24"/>
          <w:szCs w:val="24"/>
        </w:rPr>
      </w:pPr>
      <w:r w:rsidRPr="00BE0F93">
        <w:rPr>
          <w:rFonts w:ascii="Times New Roman" w:hAnsi="Times New Roman"/>
          <w:bCs/>
          <w:sz w:val="24"/>
          <w:szCs w:val="24"/>
        </w:rPr>
        <w:t>Darba nodošana un pieņemšana notiek, Izpildītājam sagatavojot un iesniedzot Pasūtītājam Darba izpildes nodošanas un pieņemšanas aktu 2 (divos) eksemplāros.</w:t>
      </w:r>
    </w:p>
    <w:p w14:paraId="464130AC"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Darba izpildes diena ir diena, kad Izpildītājs nosūtījis Pasūtītājam Darbu un Izpildītāja parakstītu Darba nodošanas un pieņemšanas aktu, ja Pasūtītājs pieņēmis Darbu Līguma 2.2. punktā noteiktajā kārtībā.</w:t>
      </w:r>
    </w:p>
    <w:p w14:paraId="4DF506A8" w14:textId="77777777" w:rsidR="00BE0F93" w:rsidRPr="00BE0F93" w:rsidRDefault="00BE0F93" w:rsidP="00BE0F93">
      <w:pPr>
        <w:pStyle w:val="ListParagraph"/>
        <w:numPr>
          <w:ilvl w:val="1"/>
          <w:numId w:val="27"/>
        </w:numPr>
        <w:suppressAutoHyphens w:val="0"/>
        <w:spacing w:after="160"/>
        <w:jc w:val="both"/>
        <w:rPr>
          <w:rFonts w:ascii="Times New Roman" w:hAnsi="Times New Roman"/>
          <w:sz w:val="24"/>
          <w:szCs w:val="24"/>
        </w:rPr>
      </w:pPr>
      <w:r w:rsidRPr="00BE0F93">
        <w:rPr>
          <w:rFonts w:ascii="Times New Roman" w:hAnsi="Times New Roman"/>
          <w:sz w:val="24"/>
          <w:szCs w:val="24"/>
        </w:rPr>
        <w:t>Pasūtītājs 15 (piecpadsmit) darba dienu laikā pēc Darba nodošanas un pieņemšanas akta saņemšanas pārbauda Darba atbilstību Līguma noteikumiem un pieņem Darbu, parakstot Darba nodošanas un pieņemšanas aktu, vai, ja Darbam konstatēti trūkumi, iesniedz Izpildītājam aktu par konstatēto neatbilstību Līguma nosacījumiem vai citiem defektiem/trūkumiem, nosakot termiņu to novēršanai. Pasūtītāja konstatētos trūkumus Izpildītājs novērš par saviem līdzekļiem 5 (piecu) dienu laikā.</w:t>
      </w:r>
    </w:p>
    <w:p w14:paraId="4C0D4282"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Pasūtītāja motivēta atteikuma gadījumā Darba izpildes diena ir diena, kad Izpildītājs novērsis visus Pasūtītāja atteikumā minētos trūkumus un atkārtoti nosūtījis Pasūtītājam Darbu un Izpildītāja parakstītu Darba nodošanas un pieņemšanas aktu, ja Pasūtītājs pieņēmis Darbu Līguma 2.5. punktā noteiktajā kārtībā. </w:t>
      </w:r>
    </w:p>
    <w:p w14:paraId="33BD4926" w14:textId="77777777" w:rsidR="00BE0F93" w:rsidRPr="00BE0F93" w:rsidRDefault="00BE0F93" w:rsidP="00BE0F93">
      <w:pPr>
        <w:spacing w:line="276" w:lineRule="auto"/>
        <w:jc w:val="both"/>
        <w:rPr>
          <w:lang w:val="lv-LV"/>
        </w:rPr>
      </w:pPr>
    </w:p>
    <w:p w14:paraId="7FABFB10"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LĪGUMA SUMMA UN NORĒĶINU KĀRTĪBA</w:t>
      </w:r>
    </w:p>
    <w:p w14:paraId="03CB80DD" w14:textId="77777777" w:rsidR="00BE0F93" w:rsidRPr="00BE0F93" w:rsidRDefault="00BE0F93" w:rsidP="00BE0F93">
      <w:pPr>
        <w:pStyle w:val="ListParagraph"/>
        <w:jc w:val="both"/>
        <w:rPr>
          <w:rFonts w:ascii="Times New Roman" w:hAnsi="Times New Roman"/>
          <w:sz w:val="24"/>
          <w:szCs w:val="24"/>
        </w:rPr>
      </w:pPr>
    </w:p>
    <w:p w14:paraId="311B4F11"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Līguma summa bez PVN ir </w:t>
      </w:r>
      <w:r w:rsidRPr="00BE0F93">
        <w:rPr>
          <w:rFonts w:ascii="Times New Roman" w:hAnsi="Times New Roman"/>
          <w:b/>
          <w:bCs/>
          <w:sz w:val="24"/>
          <w:szCs w:val="24"/>
        </w:rPr>
        <w:t>__________</w:t>
      </w:r>
      <w:r w:rsidRPr="00BE0F93">
        <w:rPr>
          <w:rFonts w:ascii="Times New Roman" w:hAnsi="Times New Roman"/>
          <w:sz w:val="24"/>
          <w:szCs w:val="24"/>
        </w:rPr>
        <w:t xml:space="preserve"> </w:t>
      </w:r>
      <w:r w:rsidRPr="00BE0F93">
        <w:rPr>
          <w:rFonts w:ascii="Times New Roman" w:hAnsi="Times New Roman"/>
          <w:b/>
          <w:sz w:val="24"/>
          <w:szCs w:val="24"/>
        </w:rPr>
        <w:t>EUR</w:t>
      </w:r>
      <w:r w:rsidRPr="00BE0F93">
        <w:rPr>
          <w:rFonts w:ascii="Times New Roman" w:hAnsi="Times New Roman"/>
          <w:sz w:val="24"/>
          <w:szCs w:val="24"/>
        </w:rPr>
        <w:t xml:space="preserve"> (________________________________). PVN tiek maksāts normatīvajos aktos noteiktajā kārtībā un apjomā.</w:t>
      </w:r>
    </w:p>
    <w:p w14:paraId="7FB4FC2A"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Pasūtītājs samaksā Izpildītājam Līguma summu 15 (piecpadsmit) darba dienu laikā pēc Darba nodošanas un pieņemšanas akta abpusējas parakstīšanas, un rēķina saņemšanas veicot pārskaitījumu uz Izpildītāja Līgumā norādīto norēķinu kontu bankā. </w:t>
      </w:r>
    </w:p>
    <w:p w14:paraId="5D3AD1EA"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Līguma summā ir iekļautas visas kvalitatīva Darba izstrādei saistītās izmaksas.</w:t>
      </w:r>
    </w:p>
    <w:p w14:paraId="3493E52F" w14:textId="77777777" w:rsidR="00BE0F93" w:rsidRPr="00BE0F93" w:rsidRDefault="00BE0F93" w:rsidP="00BE0F93">
      <w:pPr>
        <w:pStyle w:val="ListParagraph"/>
        <w:ind w:left="1080"/>
        <w:jc w:val="both"/>
        <w:rPr>
          <w:rFonts w:ascii="Times New Roman" w:hAnsi="Times New Roman"/>
          <w:sz w:val="24"/>
          <w:szCs w:val="24"/>
        </w:rPr>
      </w:pPr>
    </w:p>
    <w:p w14:paraId="28CC1A7C" w14:textId="77777777" w:rsidR="00BE0F93" w:rsidRPr="00BE0F93" w:rsidRDefault="00BE0F93" w:rsidP="00BE0F93">
      <w:pPr>
        <w:pStyle w:val="BodyText"/>
        <w:numPr>
          <w:ilvl w:val="0"/>
          <w:numId w:val="27"/>
        </w:numPr>
        <w:tabs>
          <w:tab w:val="left" w:pos="540"/>
        </w:tabs>
        <w:spacing w:line="276" w:lineRule="auto"/>
        <w:jc w:val="center"/>
        <w:rPr>
          <w:i w:val="0"/>
        </w:rPr>
      </w:pPr>
      <w:r w:rsidRPr="00BE0F93">
        <w:rPr>
          <w:b/>
          <w:bCs/>
          <w:i w:val="0"/>
        </w:rPr>
        <w:t xml:space="preserve"> PUŠU PIENĀKUMI UN TIESĪBAS</w:t>
      </w:r>
    </w:p>
    <w:p w14:paraId="3920DBCB" w14:textId="77777777" w:rsidR="00BE0F93" w:rsidRPr="00BE0F93" w:rsidRDefault="00BE0F93" w:rsidP="00BE0F93">
      <w:pPr>
        <w:pStyle w:val="BodyText"/>
        <w:tabs>
          <w:tab w:val="left" w:pos="540"/>
          <w:tab w:val="left" w:pos="4198"/>
        </w:tabs>
        <w:spacing w:line="276" w:lineRule="auto"/>
        <w:ind w:left="720"/>
        <w:rPr>
          <w:i w:val="0"/>
        </w:rPr>
      </w:pPr>
      <w:r w:rsidRPr="00BE0F93">
        <w:rPr>
          <w:i w:val="0"/>
        </w:rPr>
        <w:tab/>
      </w:r>
    </w:p>
    <w:p w14:paraId="3C9CBEEE" w14:textId="77777777" w:rsidR="00BE0F93" w:rsidRPr="00BE0F93" w:rsidRDefault="00BE0F93" w:rsidP="00BE0F93">
      <w:pPr>
        <w:pStyle w:val="BodyText"/>
        <w:numPr>
          <w:ilvl w:val="1"/>
          <w:numId w:val="27"/>
        </w:numPr>
        <w:tabs>
          <w:tab w:val="left" w:pos="540"/>
        </w:tabs>
        <w:spacing w:line="276" w:lineRule="auto"/>
        <w:jc w:val="both"/>
        <w:rPr>
          <w:rStyle w:val="Emphasis"/>
          <w:iCs/>
        </w:rPr>
      </w:pPr>
      <w:r w:rsidRPr="00BE0F93">
        <w:rPr>
          <w:i w:val="0"/>
        </w:rPr>
        <w:t>Pasūtītājs apņemas:</w:t>
      </w:r>
    </w:p>
    <w:p w14:paraId="6455958A"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sz w:val="24"/>
          <w:szCs w:val="24"/>
        </w:rPr>
      </w:pPr>
      <w:r w:rsidRPr="00BE0F93">
        <w:rPr>
          <w:rStyle w:val="Emphasis"/>
          <w:rFonts w:ascii="Times New Roman" w:eastAsiaTheme="minorHAnsi" w:hAnsi="Times New Roman"/>
          <w:i w:val="0"/>
          <w:sz w:val="24"/>
          <w:szCs w:val="24"/>
        </w:rPr>
        <w:t>pieņemt Darbu Līgumā paredzētajā kārtībā un termiņā, ja Darbs atbilst Līguma prasībām un veikt samaksu par to;</w:t>
      </w:r>
    </w:p>
    <w:p w14:paraId="4256AA3F"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sz w:val="24"/>
          <w:szCs w:val="24"/>
        </w:rPr>
      </w:pPr>
      <w:r w:rsidRPr="00BE0F93">
        <w:rPr>
          <w:rStyle w:val="Emphasis"/>
          <w:rFonts w:ascii="Times New Roman" w:eastAsiaTheme="minorHAnsi" w:hAnsi="Times New Roman"/>
          <w:i w:val="0"/>
          <w:sz w:val="24"/>
          <w:szCs w:val="24"/>
        </w:rPr>
        <w:t>laikus informēt Izpildītāju par iespējamiem vai paredzamiem kavējumiem Līguma izpildē un apstākļiem, notikumiem un problēmām, kas varētu ietekmēt Līguma precīzu un pilnīgu izpildi vai tā izpildi noteiktajā laikā.</w:t>
      </w:r>
    </w:p>
    <w:p w14:paraId="11CE07EF" w14:textId="77777777" w:rsidR="00BE0F93" w:rsidRPr="00BE0F93" w:rsidRDefault="00BE0F93" w:rsidP="00BE0F93">
      <w:pPr>
        <w:pStyle w:val="BodyText"/>
        <w:numPr>
          <w:ilvl w:val="1"/>
          <w:numId w:val="27"/>
        </w:numPr>
        <w:spacing w:line="276" w:lineRule="auto"/>
        <w:jc w:val="both"/>
        <w:rPr>
          <w:i w:val="0"/>
        </w:rPr>
      </w:pPr>
      <w:r w:rsidRPr="00BE0F93">
        <w:rPr>
          <w:i w:val="0"/>
        </w:rPr>
        <w:t>Pasūtītāja tiesības:</w:t>
      </w:r>
    </w:p>
    <w:p w14:paraId="28131585"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sz w:val="24"/>
          <w:szCs w:val="24"/>
        </w:rPr>
      </w:pPr>
      <w:r w:rsidRPr="00BE0F93">
        <w:rPr>
          <w:rStyle w:val="Emphasis"/>
          <w:rFonts w:ascii="Times New Roman" w:hAnsi="Times New Roman"/>
          <w:i w:val="0"/>
          <w:sz w:val="24"/>
          <w:szCs w:val="24"/>
        </w:rPr>
        <w:t>dot Izpildītājam saistošus norādījumus par Līguma izpildi, ciktāl tas nemaina vai nepapildina Līguma priekšmetu vai nepadara neiespējamu Līguma izpildi;</w:t>
      </w:r>
    </w:p>
    <w:p w14:paraId="7F2D63E8"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sz w:val="24"/>
          <w:szCs w:val="24"/>
        </w:rPr>
      </w:pPr>
      <w:r w:rsidRPr="00BE0F93">
        <w:rPr>
          <w:rStyle w:val="Emphasis"/>
          <w:rFonts w:ascii="Times New Roman" w:eastAsiaTheme="minorHAnsi" w:hAnsi="Times New Roman"/>
          <w:i w:val="0"/>
          <w:sz w:val="24"/>
          <w:szCs w:val="24"/>
        </w:rPr>
        <w:t>saņemt no Izpildītāja informāciju un paskaidrojumus par Līguma izpildes gaitu;</w:t>
      </w:r>
    </w:p>
    <w:p w14:paraId="0B5EBE42" w14:textId="77777777" w:rsidR="00BE0F93" w:rsidRPr="00BE0F93" w:rsidRDefault="00BE0F93" w:rsidP="00BE0F93">
      <w:pPr>
        <w:pStyle w:val="BodyText"/>
        <w:numPr>
          <w:ilvl w:val="2"/>
          <w:numId w:val="27"/>
        </w:numPr>
        <w:spacing w:line="276" w:lineRule="auto"/>
        <w:jc w:val="both"/>
        <w:rPr>
          <w:i w:val="0"/>
        </w:rPr>
      </w:pPr>
      <w:r w:rsidRPr="00BE0F93">
        <w:rPr>
          <w:i w:val="0"/>
        </w:rPr>
        <w:t>izteikt pretenziju par Darba neatbilstību Līguma prasībām;</w:t>
      </w:r>
    </w:p>
    <w:p w14:paraId="4CB5B0EF" w14:textId="77777777" w:rsidR="00BE0F93" w:rsidRPr="00BE0F93" w:rsidRDefault="00BE0F93" w:rsidP="00BE0F93">
      <w:pPr>
        <w:pStyle w:val="ListParagraph"/>
        <w:numPr>
          <w:ilvl w:val="2"/>
          <w:numId w:val="27"/>
        </w:numPr>
        <w:suppressAutoHyphens w:val="0"/>
        <w:spacing w:after="0"/>
        <w:contextualSpacing w:val="0"/>
        <w:jc w:val="both"/>
        <w:rPr>
          <w:rFonts w:ascii="Times New Roman" w:hAnsi="Times New Roman"/>
          <w:iCs/>
          <w:color w:val="000000" w:themeColor="text1"/>
          <w:sz w:val="24"/>
          <w:szCs w:val="24"/>
        </w:rPr>
      </w:pPr>
      <w:r w:rsidRPr="00BE0F93">
        <w:rPr>
          <w:rStyle w:val="Emphasis"/>
          <w:rFonts w:ascii="Times New Roman" w:eastAsiaTheme="minorHAnsi" w:hAnsi="Times New Roman"/>
          <w:i w:val="0"/>
          <w:sz w:val="24"/>
          <w:szCs w:val="24"/>
        </w:rPr>
        <w:t>jebkurā laikā pieprasīt no Izpildītāja informāciju par Līguma izpildi, tajā skaitā, bet ne tikai informāciju par apstākļiem, kas kavē vai varētu kavēt Līguma izpildi</w:t>
      </w:r>
      <w:r w:rsidRPr="00BE0F93">
        <w:rPr>
          <w:rStyle w:val="Emphasis"/>
          <w:rFonts w:ascii="Times New Roman" w:eastAsiaTheme="minorHAnsi" w:hAnsi="Times New Roman"/>
          <w:i w:val="0"/>
          <w:color w:val="000000" w:themeColor="text1"/>
          <w:sz w:val="24"/>
          <w:szCs w:val="24"/>
        </w:rPr>
        <w:t>.</w:t>
      </w:r>
    </w:p>
    <w:p w14:paraId="71519B2F" w14:textId="77777777" w:rsidR="00BE0F93" w:rsidRPr="00BE0F93" w:rsidRDefault="00BE0F93" w:rsidP="00BE0F93">
      <w:pPr>
        <w:pStyle w:val="BodyText"/>
        <w:numPr>
          <w:ilvl w:val="1"/>
          <w:numId w:val="27"/>
        </w:numPr>
        <w:spacing w:line="276" w:lineRule="auto"/>
        <w:jc w:val="both"/>
        <w:rPr>
          <w:i w:val="0"/>
        </w:rPr>
      </w:pPr>
      <w:r w:rsidRPr="00BE0F93">
        <w:rPr>
          <w:i w:val="0"/>
        </w:rPr>
        <w:t>Izpildītājs apņemas:</w:t>
      </w:r>
    </w:p>
    <w:p w14:paraId="62BB5C86"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sz w:val="24"/>
          <w:szCs w:val="24"/>
        </w:rPr>
      </w:pPr>
      <w:r w:rsidRPr="00BE0F93">
        <w:rPr>
          <w:rStyle w:val="Emphasis"/>
          <w:rFonts w:ascii="Times New Roman" w:eastAsiaTheme="minorHAnsi" w:hAnsi="Times New Roman"/>
          <w:i w:val="0"/>
          <w:sz w:val="24"/>
          <w:szCs w:val="24"/>
        </w:rPr>
        <w:t>veikt Darbu atbilstoši Līgumam un Latvijas Republikas normatīvo aktu prasībām;</w:t>
      </w:r>
    </w:p>
    <w:p w14:paraId="48D963A9" w14:textId="77777777" w:rsidR="00BE0F93" w:rsidRPr="00BE0F93" w:rsidRDefault="00BE0F93" w:rsidP="00BE0F93">
      <w:pPr>
        <w:numPr>
          <w:ilvl w:val="2"/>
          <w:numId w:val="27"/>
        </w:numPr>
        <w:spacing w:line="276" w:lineRule="auto"/>
        <w:jc w:val="both"/>
        <w:rPr>
          <w:color w:val="000000"/>
          <w:lang w:val="lv-LV"/>
        </w:rPr>
      </w:pPr>
      <w:r w:rsidRPr="00BE0F93">
        <w:rPr>
          <w:color w:val="000000"/>
          <w:lang w:val="lv-LV"/>
        </w:rPr>
        <w:t xml:space="preserve">izstrādāt Pasūtītājam kvalitatīvu Darbu Līgumā noteiktajā termiņā; </w:t>
      </w:r>
      <w:r w:rsidRPr="00BE0F93">
        <w:rPr>
          <w:color w:val="000000" w:themeColor="text1"/>
          <w:lang w:val="lv-LV"/>
        </w:rPr>
        <w:t xml:space="preserve"> </w:t>
      </w:r>
    </w:p>
    <w:p w14:paraId="56D12236" w14:textId="77777777" w:rsidR="00BE0F93" w:rsidRPr="00BE0F93" w:rsidRDefault="00BE0F93" w:rsidP="00BE0F93">
      <w:pPr>
        <w:numPr>
          <w:ilvl w:val="2"/>
          <w:numId w:val="27"/>
        </w:numPr>
        <w:spacing w:line="276" w:lineRule="auto"/>
        <w:jc w:val="both"/>
        <w:rPr>
          <w:color w:val="000000" w:themeColor="text1"/>
          <w:lang w:val="lv-LV"/>
        </w:rPr>
      </w:pPr>
      <w:r w:rsidRPr="00BE0F93">
        <w:rPr>
          <w:color w:val="000000" w:themeColor="text1"/>
          <w:lang w:val="lv-LV"/>
        </w:rPr>
        <w:t>nodrošināt, ka Darbs tiktu veikts Līgumā noteiktā termiņā, apjomā un kvalitātē;</w:t>
      </w:r>
    </w:p>
    <w:p w14:paraId="301A46F6" w14:textId="77777777" w:rsidR="00BE0F93" w:rsidRPr="00BE0F93" w:rsidRDefault="00BE0F93" w:rsidP="00BE0F93">
      <w:pPr>
        <w:numPr>
          <w:ilvl w:val="2"/>
          <w:numId w:val="27"/>
        </w:numPr>
        <w:spacing w:line="276" w:lineRule="auto"/>
        <w:jc w:val="both"/>
        <w:rPr>
          <w:color w:val="000000" w:themeColor="text1"/>
          <w:lang w:val="lv-LV"/>
        </w:rPr>
      </w:pPr>
      <w:r w:rsidRPr="00BE0F93">
        <w:rPr>
          <w:color w:val="000000" w:themeColor="text1"/>
          <w:lang w:val="lv-LV"/>
        </w:rPr>
        <w:t>novērst jebkuru Darba neatbilstību Līgumā noteiktajā kārtībā, ja Pasūtītājs informē Izpildītāju par šādu neatbilstību konstatēšanu;</w:t>
      </w:r>
    </w:p>
    <w:p w14:paraId="7B2120EF" w14:textId="77777777" w:rsidR="00BE0F93" w:rsidRPr="00BE0F93" w:rsidRDefault="00BE0F93" w:rsidP="00BE0F93">
      <w:pPr>
        <w:numPr>
          <w:ilvl w:val="2"/>
          <w:numId w:val="27"/>
        </w:numPr>
        <w:spacing w:line="276" w:lineRule="auto"/>
        <w:jc w:val="both"/>
        <w:rPr>
          <w:color w:val="000000"/>
          <w:lang w:val="lv-LV"/>
        </w:rPr>
      </w:pPr>
      <w:r w:rsidRPr="00BE0F93">
        <w:rPr>
          <w:color w:val="000000" w:themeColor="text1"/>
          <w:lang w:val="lv-LV"/>
        </w:rPr>
        <w:t xml:space="preserve">vienas darbdienas laikā (Pasūtītāja kontaktpersonai e-pastā) apliecināt Pasūtītāja paziņojuma, pieprasījuma vai cita dokumenta saņemšanu pa </w:t>
      </w:r>
      <w:r w:rsidRPr="00BE0F93">
        <w:rPr>
          <w:color w:val="000000"/>
          <w:lang w:val="lv-LV"/>
        </w:rPr>
        <w:t>elektronisko pastu;</w:t>
      </w:r>
    </w:p>
    <w:p w14:paraId="40F95B4C" w14:textId="77777777" w:rsidR="00BE0F93" w:rsidRPr="00BE0F93" w:rsidRDefault="00BE0F93" w:rsidP="00BE0F93">
      <w:pPr>
        <w:numPr>
          <w:ilvl w:val="2"/>
          <w:numId w:val="27"/>
        </w:numPr>
        <w:spacing w:line="276" w:lineRule="auto"/>
        <w:jc w:val="both"/>
        <w:rPr>
          <w:rStyle w:val="Emphasis"/>
          <w:i w:val="0"/>
          <w:iCs w:val="0"/>
          <w:color w:val="000000"/>
          <w:lang w:val="lv-LV"/>
        </w:rPr>
      </w:pPr>
      <w:r w:rsidRPr="00BE0F93">
        <w:rPr>
          <w:color w:val="000000"/>
          <w:lang w:val="lv-LV"/>
        </w:rPr>
        <w:t>ar saviem spēkiem un līdzekļiem novērst Darba izpildē konstatētos trūkumus Līgumā noteiktā termiņā;</w:t>
      </w:r>
    </w:p>
    <w:p w14:paraId="393050CC"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color w:val="000000" w:themeColor="text1"/>
          <w:sz w:val="24"/>
          <w:szCs w:val="24"/>
        </w:rPr>
      </w:pPr>
      <w:r w:rsidRPr="00BE0F93">
        <w:rPr>
          <w:rStyle w:val="Emphasis"/>
          <w:rFonts w:ascii="Times New Roman" w:hAnsi="Times New Roman"/>
          <w:i w:val="0"/>
          <w:color w:val="000000" w:themeColor="text1"/>
          <w:sz w:val="24"/>
          <w:szCs w:val="24"/>
        </w:rPr>
        <w:t>saskaņot ar Pasūtītāju Līgumā minētos jautājumus, kas saistīti ar līgumsaistību izpildi;</w:t>
      </w:r>
    </w:p>
    <w:p w14:paraId="0D9861F4"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color w:val="000000" w:themeColor="text1"/>
          <w:sz w:val="24"/>
          <w:szCs w:val="24"/>
        </w:rPr>
      </w:pPr>
      <w:r w:rsidRPr="00BE0F93">
        <w:rPr>
          <w:rStyle w:val="Emphasis"/>
          <w:rFonts w:ascii="Times New Roman" w:eastAsiaTheme="minorHAnsi" w:hAnsi="Times New Roman"/>
          <w:i w:val="0"/>
          <w:color w:val="000000" w:themeColor="text1"/>
          <w:sz w:val="24"/>
          <w:szCs w:val="24"/>
        </w:rPr>
        <w:t>pēc pieprasījuma saņemšanas informēt Pasūtītāju par Līguma izpildi;</w:t>
      </w:r>
    </w:p>
    <w:p w14:paraId="29F277D4" w14:textId="77777777" w:rsidR="00BE0F93" w:rsidRPr="00BE0F93" w:rsidRDefault="00BE0F93" w:rsidP="00BE0F93">
      <w:pPr>
        <w:pStyle w:val="ListParagraph"/>
        <w:numPr>
          <w:ilvl w:val="2"/>
          <w:numId w:val="27"/>
        </w:numPr>
        <w:suppressAutoHyphens w:val="0"/>
        <w:spacing w:after="0"/>
        <w:contextualSpacing w:val="0"/>
        <w:jc w:val="both"/>
        <w:rPr>
          <w:rStyle w:val="Emphasis"/>
          <w:rFonts w:ascii="Times New Roman" w:hAnsi="Times New Roman"/>
          <w:i w:val="0"/>
          <w:color w:val="000000" w:themeColor="text1"/>
          <w:sz w:val="24"/>
          <w:szCs w:val="24"/>
        </w:rPr>
      </w:pPr>
      <w:r w:rsidRPr="00BE0F93">
        <w:rPr>
          <w:rStyle w:val="Emphasis"/>
          <w:rFonts w:ascii="Times New Roman" w:eastAsiaTheme="minorHAnsi" w:hAnsi="Times New Roman"/>
          <w:i w:val="0"/>
          <w:color w:val="000000" w:themeColor="text1"/>
          <w:sz w:val="24"/>
          <w:szCs w:val="24"/>
        </w:rPr>
        <w:t>laikus informēt Pasūtītāju par iespējamajiem vai paredzamajiem kavējumiem Līguma izpildē un apstākļiem, notikumiem un problēmām, kas ietekmē Līguma precīzu un pilnīgu izpildi vai tā izpildi noteiktajā laikā;</w:t>
      </w:r>
    </w:p>
    <w:p w14:paraId="55EBBD9B" w14:textId="77777777" w:rsidR="00BE0F93" w:rsidRPr="00BE0F93" w:rsidRDefault="00BE0F93" w:rsidP="00BE0F93">
      <w:pPr>
        <w:pStyle w:val="ListParagraph"/>
        <w:numPr>
          <w:ilvl w:val="2"/>
          <w:numId w:val="27"/>
        </w:numPr>
        <w:suppressAutoHyphens w:val="0"/>
        <w:spacing w:after="0"/>
        <w:contextualSpacing w:val="0"/>
        <w:jc w:val="both"/>
        <w:rPr>
          <w:rFonts w:ascii="Times New Roman" w:hAnsi="Times New Roman"/>
          <w:iCs/>
          <w:color w:val="000000" w:themeColor="text1"/>
          <w:sz w:val="24"/>
          <w:szCs w:val="24"/>
        </w:rPr>
      </w:pPr>
      <w:r w:rsidRPr="00BE0F93">
        <w:rPr>
          <w:rStyle w:val="Emphasis"/>
          <w:rFonts w:ascii="Times New Roman" w:eastAsiaTheme="minorHAnsi" w:hAnsi="Times New Roman"/>
          <w:i w:val="0"/>
          <w:color w:val="000000" w:themeColor="text1"/>
          <w:sz w:val="24"/>
          <w:szCs w:val="24"/>
        </w:rPr>
        <w:lastRenderedPageBreak/>
        <w:t>bez papildus samaksas novērst identificētās problēmas, kuras radušās Izpildītāja veiktās darbības vai bezdarbības rezultātā;</w:t>
      </w:r>
    </w:p>
    <w:p w14:paraId="4FD5C8FC" w14:textId="77777777" w:rsidR="00BE0F93" w:rsidRPr="00BE0F93" w:rsidRDefault="00BE0F93" w:rsidP="00BE0F93">
      <w:pPr>
        <w:pStyle w:val="BodyText"/>
        <w:numPr>
          <w:ilvl w:val="1"/>
          <w:numId w:val="27"/>
        </w:numPr>
        <w:spacing w:line="276" w:lineRule="auto"/>
        <w:jc w:val="both"/>
        <w:rPr>
          <w:i w:val="0"/>
          <w:color w:val="000000" w:themeColor="text1"/>
        </w:rPr>
      </w:pPr>
      <w:r w:rsidRPr="00BE0F93">
        <w:rPr>
          <w:i w:val="0"/>
          <w:color w:val="000000" w:themeColor="text1"/>
        </w:rPr>
        <w:t>Izpildītāja tiesības:</w:t>
      </w:r>
    </w:p>
    <w:p w14:paraId="578C580B" w14:textId="77777777" w:rsidR="00BE0F93" w:rsidRPr="00BE0F93" w:rsidRDefault="00BE0F93" w:rsidP="00BE0F93">
      <w:pPr>
        <w:pStyle w:val="ListParagraph"/>
        <w:numPr>
          <w:ilvl w:val="2"/>
          <w:numId w:val="27"/>
        </w:numPr>
        <w:shd w:val="clear" w:color="auto" w:fill="FFFFFF"/>
        <w:tabs>
          <w:tab w:val="left" w:pos="851"/>
        </w:tabs>
        <w:suppressAutoHyphens w:val="0"/>
        <w:spacing w:after="0"/>
        <w:contextualSpacing w:val="0"/>
        <w:jc w:val="both"/>
        <w:rPr>
          <w:rFonts w:ascii="Times New Roman" w:hAnsi="Times New Roman"/>
          <w:color w:val="000000"/>
          <w:sz w:val="24"/>
          <w:szCs w:val="24"/>
        </w:rPr>
      </w:pPr>
      <w:r w:rsidRPr="00BE0F93">
        <w:rPr>
          <w:rFonts w:ascii="Times New Roman" w:eastAsia="Courier New" w:hAnsi="Times New Roman"/>
          <w:color w:val="000000"/>
          <w:sz w:val="24"/>
          <w:szCs w:val="24"/>
          <w:lang w:eastAsia="lv-LV"/>
        </w:rPr>
        <w:t>savlaicīgi saņemt visu Pasūtītāja rīcībā esošo informāciju, kas nepieciešama Līguma saistību izpildei;</w:t>
      </w:r>
    </w:p>
    <w:p w14:paraId="3E1A786F" w14:textId="77777777" w:rsidR="00BE0F93" w:rsidRPr="00BE0F93" w:rsidRDefault="00BE0F93" w:rsidP="00BE0F93">
      <w:pPr>
        <w:pStyle w:val="ListParagraph"/>
        <w:numPr>
          <w:ilvl w:val="2"/>
          <w:numId w:val="27"/>
        </w:numPr>
        <w:shd w:val="clear" w:color="auto" w:fill="FFFFFF"/>
        <w:tabs>
          <w:tab w:val="left" w:pos="851"/>
        </w:tabs>
        <w:suppressAutoHyphens w:val="0"/>
        <w:spacing w:after="0"/>
        <w:contextualSpacing w:val="0"/>
        <w:jc w:val="both"/>
        <w:rPr>
          <w:rFonts w:ascii="Times New Roman" w:hAnsi="Times New Roman"/>
          <w:color w:val="000000"/>
          <w:sz w:val="24"/>
          <w:szCs w:val="24"/>
        </w:rPr>
      </w:pPr>
      <w:r w:rsidRPr="00BE0F93">
        <w:rPr>
          <w:rFonts w:ascii="Times New Roman" w:hAnsi="Times New Roman"/>
          <w:color w:val="000000"/>
          <w:sz w:val="24"/>
          <w:szCs w:val="24"/>
        </w:rPr>
        <w:t>saņemt samaksu par atbilstoši Līguma nosacījumiem sniegto Pakalpojumu.</w:t>
      </w:r>
    </w:p>
    <w:p w14:paraId="188B1D62" w14:textId="77777777" w:rsidR="00BE0F93" w:rsidRPr="00BE0F93" w:rsidRDefault="00BE0F93" w:rsidP="00BE0F93">
      <w:pPr>
        <w:spacing w:line="276" w:lineRule="auto"/>
        <w:ind w:left="1800"/>
        <w:jc w:val="both"/>
        <w:rPr>
          <w:lang w:val="lv-LV"/>
        </w:rPr>
      </w:pPr>
    </w:p>
    <w:p w14:paraId="2BF2F106"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PUŠU ATBILDĪBA</w:t>
      </w:r>
    </w:p>
    <w:p w14:paraId="22154467" w14:textId="77777777" w:rsidR="00BE0F93" w:rsidRPr="00BE0F93" w:rsidRDefault="00BE0F93" w:rsidP="00BE0F93">
      <w:pPr>
        <w:pStyle w:val="ListParagraph"/>
        <w:jc w:val="both"/>
        <w:rPr>
          <w:rFonts w:ascii="Times New Roman" w:hAnsi="Times New Roman"/>
          <w:sz w:val="24"/>
          <w:szCs w:val="24"/>
        </w:rPr>
      </w:pPr>
    </w:p>
    <w:p w14:paraId="24EDF95D"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 Par Līguma 2.2. punktā noteiktā termiņa nokavējumu Izpildītājs maksā Pasūtītājam līgumsodu 0,5 % (nulle, komats, pieci procenti) apmērā no Līguma summas par katru nokavēto kalendāro dienu, bet kopā ne vairāk kā 10 % (desmit procenti) no Līguma summas. Izpildītājam līgumsods ir jāsamaksā 10 (desmit) darbdienu laikā no attiecīga Pasūtītāja pieprasījuma saņemšanas dienas. Pasūtītājam ir tiesības ieturēt Izpildītāja līgumsodu no Līgumā noteiktā Pasūtītāja maksājuma. </w:t>
      </w:r>
    </w:p>
    <w:p w14:paraId="5884255F"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Par Līguma 3.2. punktā noteiktā termiņa nokavējumu Pasūtītājs maksā Izpildītājam līgumsodu 0,5 % (nulle, komats, pieci procenti) apmērā no kavētā maksājuma summas par katru nokavēto kalendāro dienu, bet kopā ne vairāk kā 10 % (desmit procenti) no kavētā maksājuma summas. Pasūtītājs veic līgumsoda samaksu Izpildītājam 10 (desmit) darbdienu laikā pēc Izpildītāja pieprasījuma saņemšanas dienas.</w:t>
      </w:r>
    </w:p>
    <w:p w14:paraId="609A9D61"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Ja nokavēts kāds no Līgumā noteiktajiem termiņiem, līgumsodu aprēķina par periodu, kas sākas nākamajā kalendārajā dienā pēc Līgumā noteiktā saistību izpildes termiņa un ietver dienu, kurā saistības izpildītas. </w:t>
      </w:r>
    </w:p>
    <w:p w14:paraId="26947359"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Pasūtītājs ir tiesīgs, nemaksājot līgumsodu un neatlīdzinot zaudējumus, vienpusēji atkāpties no Līguma, rakstiski par to paziņojot Izpildītājam, ja Izpildītājs kavē  Līguma 2.2. punktā noteikto termiņu vairāk kā 15 (piecpadsmit) kalendārās dienas. Šādā gadījumā Izpildītājs maksā Pasūtītājam līgumsodu 10 % (desmit procentu) apmērā no Līguma summas 10 (desmit) darbdienu laikā pēc Pasūtītāja paziņojuma par vienpusēju atkāpšanos no Līguma saņemšanas. </w:t>
      </w:r>
    </w:p>
    <w:p w14:paraId="2819E065" w14:textId="77777777" w:rsidR="00BE0F93" w:rsidRPr="00BE0F93" w:rsidRDefault="00BE0F93" w:rsidP="00BE0F93">
      <w:pPr>
        <w:pStyle w:val="ListParagraph"/>
        <w:ind w:left="1080"/>
        <w:jc w:val="both"/>
        <w:rPr>
          <w:rFonts w:ascii="Times New Roman" w:hAnsi="Times New Roman"/>
          <w:sz w:val="24"/>
          <w:szCs w:val="24"/>
        </w:rPr>
      </w:pPr>
    </w:p>
    <w:p w14:paraId="03C24BFA"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NEPĀRVARAMA VARA</w:t>
      </w:r>
    </w:p>
    <w:p w14:paraId="4FE95BA9" w14:textId="77777777" w:rsidR="00BE0F93" w:rsidRPr="00BE0F93" w:rsidRDefault="00BE0F93" w:rsidP="00BE0F93">
      <w:pPr>
        <w:pStyle w:val="ListParagraph"/>
        <w:jc w:val="both"/>
        <w:rPr>
          <w:rFonts w:ascii="Times New Roman" w:hAnsi="Times New Roman"/>
          <w:sz w:val="24"/>
          <w:szCs w:val="24"/>
        </w:rPr>
      </w:pPr>
    </w:p>
    <w:p w14:paraId="466E31D2" w14:textId="77777777" w:rsidR="00BE0F93" w:rsidRPr="00BE0F93" w:rsidRDefault="00BE0F93" w:rsidP="00BE0F93">
      <w:pPr>
        <w:pStyle w:val="ListParagraph"/>
        <w:numPr>
          <w:ilvl w:val="1"/>
          <w:numId w:val="27"/>
        </w:numPr>
        <w:suppressAutoHyphens w:val="0"/>
        <w:spacing w:after="0"/>
        <w:jc w:val="both"/>
        <w:rPr>
          <w:rFonts w:ascii="Times New Roman" w:hAnsi="Times New Roman"/>
          <w:sz w:val="24"/>
          <w:szCs w:val="24"/>
        </w:rPr>
      </w:pPr>
      <w:r w:rsidRPr="00BE0F93">
        <w:rPr>
          <w:rFonts w:ascii="Times New Roman" w:hAnsi="Times New Roman"/>
          <w:sz w:val="24"/>
          <w:szCs w:val="24"/>
        </w:rPr>
        <w:t>Puses nevar vainot par līgumsaistību nepildīšanu, ja to izpildi kavē nepārvaramas varas apstākļi, par kuriem tiek atzīts notikums, kas atbilst visiem zemāk norādītajiem noteikumiem:</w:t>
      </w:r>
    </w:p>
    <w:p w14:paraId="0C7A0D73" w14:textId="77777777" w:rsidR="00BE0F93" w:rsidRPr="00BE0F93" w:rsidRDefault="00BE0F93" w:rsidP="00BE0F93">
      <w:pPr>
        <w:pStyle w:val="ListParagraph"/>
        <w:numPr>
          <w:ilvl w:val="2"/>
          <w:numId w:val="27"/>
        </w:numPr>
        <w:suppressAutoHyphens w:val="0"/>
        <w:spacing w:after="0"/>
        <w:jc w:val="both"/>
        <w:rPr>
          <w:rFonts w:ascii="Times New Roman" w:hAnsi="Times New Roman"/>
          <w:sz w:val="24"/>
          <w:szCs w:val="24"/>
        </w:rPr>
      </w:pPr>
      <w:r w:rsidRPr="00BE0F93">
        <w:rPr>
          <w:rFonts w:ascii="Times New Roman" w:hAnsi="Times New Roman"/>
          <w:sz w:val="24"/>
          <w:szCs w:val="24"/>
        </w:rPr>
        <w:t>no kura nav iespējams izvairīties un kura sekas nav iespējams pārvarēt;</w:t>
      </w:r>
    </w:p>
    <w:p w14:paraId="4162A52E" w14:textId="77777777" w:rsidR="00BE0F93" w:rsidRPr="00BE0F93" w:rsidRDefault="00BE0F93" w:rsidP="00BE0F93">
      <w:pPr>
        <w:pStyle w:val="ListParagraph"/>
        <w:numPr>
          <w:ilvl w:val="2"/>
          <w:numId w:val="27"/>
        </w:numPr>
        <w:suppressAutoHyphens w:val="0"/>
        <w:spacing w:after="0"/>
        <w:jc w:val="both"/>
        <w:rPr>
          <w:rFonts w:ascii="Times New Roman" w:hAnsi="Times New Roman"/>
          <w:sz w:val="24"/>
          <w:szCs w:val="24"/>
        </w:rPr>
      </w:pPr>
      <w:r w:rsidRPr="00BE0F93">
        <w:rPr>
          <w:rFonts w:ascii="Times New Roman" w:hAnsi="Times New Roman"/>
          <w:sz w:val="24"/>
          <w:szCs w:val="24"/>
        </w:rPr>
        <w:t>kuru Līguma slēgšanas brīdī nebija iespējams paredzēt;</w:t>
      </w:r>
    </w:p>
    <w:p w14:paraId="0067BC97" w14:textId="77777777" w:rsidR="00BE0F93" w:rsidRPr="00BE0F93" w:rsidRDefault="00BE0F93" w:rsidP="00BE0F93">
      <w:pPr>
        <w:pStyle w:val="ListParagraph"/>
        <w:numPr>
          <w:ilvl w:val="2"/>
          <w:numId w:val="27"/>
        </w:numPr>
        <w:suppressAutoHyphens w:val="0"/>
        <w:spacing w:after="0"/>
        <w:jc w:val="both"/>
        <w:rPr>
          <w:rFonts w:ascii="Times New Roman" w:hAnsi="Times New Roman"/>
          <w:sz w:val="24"/>
          <w:szCs w:val="24"/>
        </w:rPr>
      </w:pPr>
      <w:r w:rsidRPr="00BE0F93">
        <w:rPr>
          <w:rFonts w:ascii="Times New Roman" w:hAnsi="Times New Roman"/>
          <w:sz w:val="24"/>
          <w:szCs w:val="24"/>
        </w:rPr>
        <w:t>kas nav radies Puses vai tās kontrolē esošas personas rīcības dēļ;</w:t>
      </w:r>
    </w:p>
    <w:p w14:paraId="26BAAF65" w14:textId="77777777" w:rsidR="00BE0F93" w:rsidRPr="00BE0F93" w:rsidRDefault="00BE0F93" w:rsidP="00BE0F93">
      <w:pPr>
        <w:pStyle w:val="ListParagraph"/>
        <w:numPr>
          <w:ilvl w:val="2"/>
          <w:numId w:val="27"/>
        </w:numPr>
        <w:suppressAutoHyphens w:val="0"/>
        <w:spacing w:after="0"/>
        <w:jc w:val="both"/>
        <w:rPr>
          <w:rFonts w:ascii="Times New Roman" w:hAnsi="Times New Roman"/>
          <w:sz w:val="24"/>
          <w:szCs w:val="24"/>
        </w:rPr>
      </w:pPr>
      <w:r w:rsidRPr="00BE0F93">
        <w:rPr>
          <w:rFonts w:ascii="Times New Roman" w:hAnsi="Times New Roman"/>
          <w:sz w:val="24"/>
          <w:szCs w:val="24"/>
        </w:rPr>
        <w:t>kas padara saistību izpildi ne tikai apgrūtinošu, bet neiespējamu.</w:t>
      </w:r>
    </w:p>
    <w:p w14:paraId="62E7748E" w14:textId="77777777" w:rsidR="00BE0F93" w:rsidRPr="00BE0F93" w:rsidRDefault="00BE0F93" w:rsidP="00BE0F93">
      <w:pPr>
        <w:pStyle w:val="ListParagraph"/>
        <w:numPr>
          <w:ilvl w:val="1"/>
          <w:numId w:val="27"/>
        </w:numPr>
        <w:suppressAutoHyphens w:val="0"/>
        <w:spacing w:after="0"/>
        <w:contextualSpacing w:val="0"/>
        <w:jc w:val="both"/>
        <w:rPr>
          <w:rFonts w:ascii="Times New Roman" w:hAnsi="Times New Roman"/>
          <w:color w:val="000000" w:themeColor="text1"/>
          <w:sz w:val="24"/>
          <w:szCs w:val="24"/>
        </w:rPr>
      </w:pPr>
      <w:r w:rsidRPr="00BE0F93">
        <w:rPr>
          <w:rFonts w:ascii="Times New Roman" w:hAnsi="Times New Roman"/>
          <w:color w:val="000000" w:themeColor="text1"/>
          <w:sz w:val="24"/>
          <w:szCs w:val="24"/>
        </w:rPr>
        <w:t>Nepārvaramas varas gadījumā Līguma saistību izpilde tiek apturēta uz laiku, kādā pastāv minētie apstākļi. Nepārvaramas varas apstākļu gadījumā Puses, tiklīdz tas ir iespējams, sāk sarunas par Līguma izpildes alternatīviem variantiem, kuri ir pieņemami abām Pusēm, un izdara attiecīgus grozījumus Līgumā vai sastāda jaunu Līgumu. Ja nepārvaramas varas apstākļi turpinās ilgāk par 20 (divdesmit) darbdienām un šajā laikā netiek izdarīti grozījumi Līgumā vai noslēgts jauns Līgums, Puses ir tiesīgas vienpusēji uzteikt Līgumu.</w:t>
      </w:r>
    </w:p>
    <w:p w14:paraId="646F6305" w14:textId="77777777" w:rsidR="00BE0F93" w:rsidRPr="00BE0F93" w:rsidRDefault="00BE0F93" w:rsidP="00BE0F93">
      <w:pPr>
        <w:pStyle w:val="ListParagraph"/>
        <w:suppressAutoHyphens w:val="0"/>
        <w:ind w:left="1080"/>
        <w:contextualSpacing w:val="0"/>
        <w:jc w:val="both"/>
        <w:rPr>
          <w:rFonts w:ascii="Times New Roman" w:hAnsi="Times New Roman"/>
          <w:color w:val="000000" w:themeColor="text1"/>
          <w:sz w:val="24"/>
          <w:szCs w:val="24"/>
        </w:rPr>
      </w:pPr>
    </w:p>
    <w:p w14:paraId="2036A530"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lastRenderedPageBreak/>
        <w:t>KONFIDENCIALITĀTE</w:t>
      </w:r>
    </w:p>
    <w:p w14:paraId="6B6BEB44" w14:textId="77777777" w:rsidR="00BE0F93" w:rsidRPr="00BE0F93" w:rsidRDefault="00BE0F93" w:rsidP="00BE0F93">
      <w:pPr>
        <w:pStyle w:val="ListParagraph"/>
        <w:jc w:val="both"/>
        <w:rPr>
          <w:rFonts w:ascii="Times New Roman" w:hAnsi="Times New Roman"/>
          <w:sz w:val="24"/>
          <w:szCs w:val="24"/>
        </w:rPr>
      </w:pPr>
      <w:r w:rsidRPr="00BE0F93">
        <w:rPr>
          <w:rFonts w:ascii="Times New Roman" w:hAnsi="Times New Roman"/>
          <w:sz w:val="24"/>
          <w:szCs w:val="24"/>
        </w:rPr>
        <w:t xml:space="preserve"> </w:t>
      </w:r>
    </w:p>
    <w:p w14:paraId="262D7ED3"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Puse nedrīkst izpaust informāciju par otru Pusi un Līgumu, kas nav publiski pieejama, bez otras Puses rakstiskas atļaujas, izņemot normatīvajos aktos noteiktos gadījumus.</w:t>
      </w:r>
    </w:p>
    <w:p w14:paraId="3A672684"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Līguma 7.1. punktā noteiktais konfidencialitātes pienākums ir spēkā nenoteiktu laiku un paliek spēkā arī tad, ja Puse vienpusēji atkāpjas no Līguma vai ja Līgums izbeidzas citādi. </w:t>
      </w:r>
    </w:p>
    <w:p w14:paraId="223D62D5" w14:textId="77777777" w:rsidR="00BE0F93" w:rsidRPr="00BE0F93" w:rsidRDefault="00BE0F93" w:rsidP="00BE0F93">
      <w:pPr>
        <w:pStyle w:val="ListParagraph"/>
        <w:ind w:left="1080"/>
        <w:jc w:val="both"/>
        <w:rPr>
          <w:rFonts w:ascii="Times New Roman" w:hAnsi="Times New Roman"/>
          <w:sz w:val="24"/>
          <w:szCs w:val="24"/>
        </w:rPr>
      </w:pPr>
    </w:p>
    <w:p w14:paraId="280546CB"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STRĪDU RISINĀŠANA UN LĪGUMAM PIEMĒROJAMIE TIESĪBU AKTI</w:t>
      </w:r>
    </w:p>
    <w:p w14:paraId="6D79A32C" w14:textId="77777777" w:rsidR="00BE0F93" w:rsidRPr="00BE0F93" w:rsidRDefault="00BE0F93" w:rsidP="00BE0F93">
      <w:pPr>
        <w:pStyle w:val="ListParagraph"/>
        <w:jc w:val="both"/>
        <w:rPr>
          <w:rFonts w:ascii="Times New Roman" w:hAnsi="Times New Roman"/>
          <w:sz w:val="24"/>
          <w:szCs w:val="24"/>
        </w:rPr>
      </w:pPr>
    </w:p>
    <w:p w14:paraId="6E75CF7C"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Strīdus, kas radušies sakarā ar Līguma izpildi, Puses risina pārrunu ceļā. Ja vienošanās netiek panākta sarunu ceļā, tad strīds tiek nodots izskatīšanai Latvijas Republikas tiesā.</w:t>
      </w:r>
    </w:p>
    <w:p w14:paraId="38A5B5AB"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Līgums sagatavots un izpildāms saskaņā ar Latvijas Republikas normatīvajiem aktiem. </w:t>
      </w:r>
    </w:p>
    <w:p w14:paraId="48373112" w14:textId="77777777" w:rsidR="00BE0F93" w:rsidRPr="00BE0F93" w:rsidRDefault="00BE0F93" w:rsidP="00BE0F93">
      <w:pPr>
        <w:pStyle w:val="ListParagraph"/>
        <w:tabs>
          <w:tab w:val="left" w:pos="7057"/>
        </w:tabs>
        <w:ind w:left="1080"/>
        <w:jc w:val="both"/>
        <w:rPr>
          <w:rFonts w:ascii="Times New Roman" w:hAnsi="Times New Roman"/>
          <w:sz w:val="24"/>
          <w:szCs w:val="24"/>
        </w:rPr>
      </w:pPr>
      <w:r w:rsidRPr="00BE0F93">
        <w:rPr>
          <w:rFonts w:ascii="Times New Roman" w:hAnsi="Times New Roman"/>
          <w:sz w:val="24"/>
          <w:szCs w:val="24"/>
        </w:rPr>
        <w:tab/>
      </w:r>
    </w:p>
    <w:p w14:paraId="0862521D"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sz w:val="24"/>
          <w:szCs w:val="24"/>
        </w:rPr>
        <w:t>NOBEIGUMA NOTEIKUMI</w:t>
      </w:r>
    </w:p>
    <w:p w14:paraId="3EF4DC75" w14:textId="77777777" w:rsidR="00BE0F93" w:rsidRPr="00BE0F93" w:rsidRDefault="00BE0F93" w:rsidP="00BE0F93">
      <w:pPr>
        <w:pStyle w:val="ListParagraph"/>
        <w:jc w:val="both"/>
        <w:rPr>
          <w:rFonts w:ascii="Times New Roman" w:hAnsi="Times New Roman"/>
          <w:sz w:val="24"/>
          <w:szCs w:val="24"/>
        </w:rPr>
      </w:pPr>
    </w:p>
    <w:p w14:paraId="52BA37A4"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Līgums stājas spēkā tā abpusējas parakstīšanas brīdī un ir spēkā līdz pilnīgai Līguma saistību izpildei. </w:t>
      </w:r>
    </w:p>
    <w:p w14:paraId="4CF55ED3" w14:textId="77777777" w:rsidR="00BE0F93" w:rsidRPr="00BE0F93" w:rsidRDefault="00BE0F93" w:rsidP="00BE0F93">
      <w:pPr>
        <w:pStyle w:val="ListParagraph"/>
        <w:numPr>
          <w:ilvl w:val="1"/>
          <w:numId w:val="27"/>
        </w:numPr>
        <w:spacing w:after="0"/>
        <w:jc w:val="both"/>
        <w:rPr>
          <w:rFonts w:ascii="Times New Roman" w:hAnsi="Times New Roman"/>
          <w:sz w:val="24"/>
          <w:szCs w:val="24"/>
        </w:rPr>
      </w:pPr>
      <w:r w:rsidRPr="00BE0F93">
        <w:rPr>
          <w:rFonts w:ascii="Times New Roman" w:hAnsi="Times New Roman"/>
          <w:sz w:val="24"/>
          <w:szCs w:val="24"/>
        </w:rPr>
        <w:t xml:space="preserve">Līguma grozījumus Puses noformē rakstiski, un tie kļūst par Līguma neatņemamu sastāvdaļu to abpusējas parakstīšanas brīdī. </w:t>
      </w:r>
    </w:p>
    <w:p w14:paraId="7C43B318" w14:textId="77777777" w:rsidR="00BE0F93" w:rsidRPr="00BE0F93" w:rsidRDefault="00BE0F93" w:rsidP="00BE0F93">
      <w:pPr>
        <w:pStyle w:val="ListParagraph"/>
        <w:widowControl w:val="0"/>
        <w:numPr>
          <w:ilvl w:val="1"/>
          <w:numId w:val="27"/>
        </w:numPr>
        <w:suppressAutoHyphens w:val="0"/>
        <w:spacing w:after="0"/>
        <w:contextualSpacing w:val="0"/>
        <w:jc w:val="both"/>
        <w:rPr>
          <w:rFonts w:ascii="Times New Roman" w:hAnsi="Times New Roman"/>
          <w:b/>
          <w:bCs/>
          <w:snapToGrid w:val="0"/>
          <w:sz w:val="24"/>
          <w:szCs w:val="24"/>
        </w:rPr>
      </w:pPr>
      <w:r w:rsidRPr="00BE0F93">
        <w:rPr>
          <w:rFonts w:ascii="Times New Roman" w:hAnsi="Times New Roman"/>
          <w:snapToGrid w:val="0"/>
          <w:sz w:val="24"/>
          <w:szCs w:val="24"/>
          <w:lang w:eastAsia="lv-LV"/>
        </w:rPr>
        <w:t xml:space="preserve">Puse par atkāpšanos no Līguma paziņo otrai Pusei ierakstītas vēstules vai ar drošu elektronisko parakstu parakstītas vēstules veidā. </w:t>
      </w:r>
    </w:p>
    <w:p w14:paraId="4C3A95E1" w14:textId="77777777" w:rsidR="00BE0F93" w:rsidRPr="00BE0F93" w:rsidRDefault="00BE0F93" w:rsidP="00BE0F93">
      <w:pPr>
        <w:pStyle w:val="ListParagraph"/>
        <w:widowControl w:val="0"/>
        <w:numPr>
          <w:ilvl w:val="1"/>
          <w:numId w:val="27"/>
        </w:numPr>
        <w:suppressAutoHyphens w:val="0"/>
        <w:spacing w:after="0"/>
        <w:contextualSpacing w:val="0"/>
        <w:jc w:val="both"/>
        <w:rPr>
          <w:rFonts w:ascii="Times New Roman" w:hAnsi="Times New Roman"/>
          <w:b/>
          <w:bCs/>
          <w:snapToGrid w:val="0"/>
          <w:sz w:val="24"/>
          <w:szCs w:val="24"/>
        </w:rPr>
      </w:pPr>
      <w:r w:rsidRPr="00BE0F93">
        <w:rPr>
          <w:rFonts w:ascii="Times New Roman" w:hAnsi="Times New Roman"/>
          <w:snapToGrid w:val="0"/>
          <w:sz w:val="24"/>
          <w:szCs w:val="24"/>
          <w:lang w:eastAsia="lv-LV"/>
        </w:rPr>
        <w:t xml:space="preserve"> Ja Līguma 9.3. punktā minētais paziņojums nosūtīts ierakstītas vēstules veidā, uzskatāms, ka otra Puse to ir saņēmusi septītajā dienā pēc tā nodošanas pastā, ja paziņojums nosūtīts ar drošu elektronisko parakstu parakstītas vēstules veidā – otrajā darba dienā pēc tā nosūtīšanas.</w:t>
      </w:r>
    </w:p>
    <w:p w14:paraId="7E94C3CF" w14:textId="77777777" w:rsidR="00BE0F93" w:rsidRPr="00BE0F93" w:rsidRDefault="00BE0F93" w:rsidP="00BE0F93">
      <w:pPr>
        <w:pStyle w:val="ListParagraph"/>
        <w:widowControl w:val="0"/>
        <w:numPr>
          <w:ilvl w:val="1"/>
          <w:numId w:val="27"/>
        </w:numPr>
        <w:suppressAutoHyphens w:val="0"/>
        <w:spacing w:after="0"/>
        <w:contextualSpacing w:val="0"/>
        <w:jc w:val="both"/>
        <w:rPr>
          <w:rFonts w:ascii="Times New Roman" w:hAnsi="Times New Roman"/>
          <w:b/>
          <w:bCs/>
          <w:snapToGrid w:val="0"/>
          <w:sz w:val="24"/>
          <w:szCs w:val="24"/>
        </w:rPr>
      </w:pPr>
      <w:r w:rsidRPr="00BE0F93">
        <w:rPr>
          <w:rFonts w:ascii="Times New Roman" w:eastAsia="Courier New" w:hAnsi="Times New Roman"/>
          <w:bCs/>
          <w:color w:val="000000"/>
          <w:sz w:val="24"/>
          <w:szCs w:val="24"/>
          <w:lang w:eastAsia="lv-LV"/>
        </w:rPr>
        <w:t>Tiesības atkāpties no Līguma, prasīt Līguma atcelšanu vai izbeigšanu var izlietot, ja Puse ir tikusi brīdināta par iespējamo vai plānoto atkāpšanos no Līguma vai tā atcelšanu vai izbeigšanu un nav novērsusi atkāpšanās vai Līguma atcelšanas vai izbeigšanas pamatu Līgumā noteiktajā termiņā.</w:t>
      </w:r>
    </w:p>
    <w:p w14:paraId="2C28CBB2" w14:textId="77777777" w:rsidR="00BE0F93" w:rsidRPr="00BE0F93" w:rsidRDefault="00BE0F93" w:rsidP="00BE0F93">
      <w:pPr>
        <w:pStyle w:val="BodyText"/>
        <w:numPr>
          <w:ilvl w:val="1"/>
          <w:numId w:val="27"/>
        </w:numPr>
        <w:spacing w:line="276" w:lineRule="auto"/>
        <w:jc w:val="both"/>
        <w:rPr>
          <w:i w:val="0"/>
        </w:rPr>
      </w:pPr>
      <w:r w:rsidRPr="00BE0F93">
        <w:rPr>
          <w:bCs/>
          <w:i w:val="0"/>
          <w:w w:val="101"/>
        </w:rPr>
        <w:t xml:space="preserve">Parakstot </w:t>
      </w:r>
      <w:r w:rsidRPr="00BE0F93">
        <w:rPr>
          <w:bCs/>
          <w:i w:val="0"/>
          <w:color w:val="000000" w:themeColor="text1"/>
        </w:rPr>
        <w:t>Puses</w:t>
      </w:r>
      <w:r w:rsidRPr="00BE0F93">
        <w:rPr>
          <w:i w:val="0"/>
          <w:color w:val="000000" w:themeColor="text1"/>
        </w:rPr>
        <w:t xml:space="preserve"> apliecina, ka gadījumos, kad Līguma izpildē tiks apstrādāti personas dati, tie apstrādē ievēros fizisko personu datu aizsardzības tiesiskā regulējuma prasības, tajā skaitā tikai nolūkā, kas saistīts ar Līguma saistību izpildi.</w:t>
      </w:r>
    </w:p>
    <w:p w14:paraId="341B29EE" w14:textId="77777777" w:rsidR="00BE0F93" w:rsidRPr="00BE0F93" w:rsidRDefault="00BE0F93" w:rsidP="00BE0F93">
      <w:pPr>
        <w:pStyle w:val="ListParagraph"/>
        <w:numPr>
          <w:ilvl w:val="1"/>
          <w:numId w:val="27"/>
        </w:numPr>
        <w:suppressAutoHyphens w:val="0"/>
        <w:spacing w:after="0"/>
        <w:contextualSpacing w:val="0"/>
        <w:jc w:val="both"/>
        <w:rPr>
          <w:rFonts w:ascii="Times New Roman" w:hAnsi="Times New Roman"/>
          <w:color w:val="000000" w:themeColor="text1"/>
          <w:sz w:val="24"/>
          <w:szCs w:val="24"/>
        </w:rPr>
      </w:pPr>
      <w:r w:rsidRPr="00BE0F93">
        <w:rPr>
          <w:rFonts w:ascii="Times New Roman" w:hAnsi="Times New Roman"/>
          <w:color w:val="000000" w:themeColor="text1"/>
          <w:sz w:val="24"/>
          <w:szCs w:val="24"/>
        </w:rPr>
        <w:t xml:space="preserve">Lai nodrošinātu Līguma saistību izpildi, Puses nosaka šādus Pušu pilnvarotos pārstāvjus, kuru pienākums ir: </w:t>
      </w:r>
    </w:p>
    <w:p w14:paraId="11246721" w14:textId="77777777" w:rsidR="00BE0F93" w:rsidRPr="00BE0F93" w:rsidRDefault="00BE0F93" w:rsidP="00BE0F93">
      <w:pPr>
        <w:widowControl w:val="0"/>
        <w:numPr>
          <w:ilvl w:val="2"/>
          <w:numId w:val="27"/>
        </w:numPr>
        <w:suppressAutoHyphens w:val="0"/>
        <w:overflowPunct w:val="0"/>
        <w:autoSpaceDE w:val="0"/>
        <w:autoSpaceDN w:val="0"/>
        <w:adjustRightInd w:val="0"/>
        <w:spacing w:line="276" w:lineRule="auto"/>
        <w:jc w:val="both"/>
        <w:textAlignment w:val="baseline"/>
        <w:rPr>
          <w:w w:val="101"/>
          <w:lang w:val="lv-LV"/>
        </w:rPr>
      </w:pPr>
      <w:r w:rsidRPr="00BE0F93">
        <w:rPr>
          <w:w w:val="101"/>
          <w:lang w:val="lv-LV"/>
        </w:rPr>
        <w:t xml:space="preserve">Pasūtītāja pārstāvis: </w:t>
      </w:r>
      <w:r w:rsidRPr="00BE0F93">
        <w:rPr>
          <w:color w:val="000000" w:themeColor="text1"/>
          <w:lang w:val="lv-LV"/>
        </w:rPr>
        <w:t>koordinēt Līguma izpildi, risināt jautājumus, kas saistīti ar Līguma izpildi, nodrošināt savlaicīgu informācijas apmaiņu un parakstīt nodošanas un pieņemšanas aktu: ____________________________;</w:t>
      </w:r>
    </w:p>
    <w:p w14:paraId="3C952465" w14:textId="77777777" w:rsidR="00BE0F93" w:rsidRPr="00BE0F93" w:rsidRDefault="00BE0F93" w:rsidP="00BE0F93">
      <w:pPr>
        <w:widowControl w:val="0"/>
        <w:numPr>
          <w:ilvl w:val="2"/>
          <w:numId w:val="27"/>
        </w:numPr>
        <w:suppressAutoHyphens w:val="0"/>
        <w:overflowPunct w:val="0"/>
        <w:autoSpaceDE w:val="0"/>
        <w:autoSpaceDN w:val="0"/>
        <w:adjustRightInd w:val="0"/>
        <w:spacing w:line="276" w:lineRule="auto"/>
        <w:jc w:val="both"/>
        <w:textAlignment w:val="baseline"/>
        <w:rPr>
          <w:color w:val="000000" w:themeColor="text1"/>
          <w:w w:val="101"/>
        </w:rPr>
      </w:pPr>
      <w:proofErr w:type="spellStart"/>
      <w:r w:rsidRPr="00BE0F93">
        <w:rPr>
          <w:color w:val="000000" w:themeColor="text1"/>
          <w:w w:val="101"/>
        </w:rPr>
        <w:t>Izpildītāja</w:t>
      </w:r>
      <w:proofErr w:type="spellEnd"/>
      <w:r w:rsidRPr="00BE0F93">
        <w:rPr>
          <w:color w:val="000000" w:themeColor="text1"/>
          <w:w w:val="101"/>
        </w:rPr>
        <w:t xml:space="preserve"> </w:t>
      </w:r>
      <w:proofErr w:type="spellStart"/>
      <w:r w:rsidRPr="00BE0F93">
        <w:rPr>
          <w:color w:val="000000" w:themeColor="text1"/>
          <w:w w:val="101"/>
        </w:rPr>
        <w:t>pārstāvis</w:t>
      </w:r>
      <w:proofErr w:type="spellEnd"/>
      <w:r w:rsidRPr="00BE0F93">
        <w:rPr>
          <w:color w:val="000000" w:themeColor="text1"/>
          <w:w w:val="101"/>
        </w:rPr>
        <w:t>: __________________________.</w:t>
      </w:r>
    </w:p>
    <w:p w14:paraId="40A21480" w14:textId="77777777" w:rsidR="00BE0F93" w:rsidRPr="00BE0F93" w:rsidRDefault="00BE0F93" w:rsidP="00BE0F93">
      <w:pPr>
        <w:pStyle w:val="BodyText"/>
        <w:numPr>
          <w:ilvl w:val="1"/>
          <w:numId w:val="27"/>
        </w:numPr>
        <w:spacing w:line="276" w:lineRule="auto"/>
        <w:jc w:val="both"/>
        <w:rPr>
          <w:i w:val="0"/>
        </w:rPr>
      </w:pPr>
      <w:r w:rsidRPr="00BE0F93">
        <w:rPr>
          <w:i w:val="0"/>
        </w:rPr>
        <w:t>Ja kādai no Pusēm tiek mainīti Līgumā minētie rekvizīti vai Pušu pilnvarotie pārstāvji, tad attiecīgā Puse vienas darba dienas laikā rakstiski paziņo par to otrai Pusei. Ja Puse neizpilda šī punkta noteikumus, uzskatāms, ka otra Puse ir pilnībā izpildījusi savas saistības, izmantojot Līgumā esošo informāciju par otru Pusi.</w:t>
      </w:r>
    </w:p>
    <w:p w14:paraId="24F95C3A" w14:textId="77777777" w:rsidR="00BE0F93" w:rsidRPr="00BE0F93" w:rsidRDefault="00BE0F93" w:rsidP="00BE0F93">
      <w:pPr>
        <w:pStyle w:val="ListParagraph"/>
        <w:numPr>
          <w:ilvl w:val="1"/>
          <w:numId w:val="27"/>
        </w:numPr>
        <w:spacing w:after="0"/>
        <w:jc w:val="both"/>
        <w:rPr>
          <w:rFonts w:ascii="Times New Roman" w:hAnsi="Times New Roman"/>
          <w:snapToGrid w:val="0"/>
          <w:color w:val="000000" w:themeColor="text1"/>
          <w:sz w:val="24"/>
          <w:szCs w:val="24"/>
        </w:rPr>
      </w:pPr>
      <w:r w:rsidRPr="00BE0F93">
        <w:rPr>
          <w:rFonts w:ascii="Times New Roman" w:hAnsi="Times New Roman"/>
          <w:snapToGrid w:val="0"/>
          <w:color w:val="000000" w:themeColor="text1"/>
          <w:sz w:val="24"/>
          <w:szCs w:val="24"/>
        </w:rPr>
        <w:lastRenderedPageBreak/>
        <w:t>Līgums (t.sk. pielikums) ir sagatavots uz 7 (septiņām) lapām un parakstīts elektroniski. Līgumam uz parakstīšanas brīdi ir viens pielikums “Tehniskā specifikācija” uz __ (____________) lapām.</w:t>
      </w:r>
    </w:p>
    <w:p w14:paraId="0D53DBDD" w14:textId="77777777" w:rsidR="00BE0F93" w:rsidRPr="00BE0F93" w:rsidRDefault="00BE0F93" w:rsidP="00BE0F93">
      <w:pPr>
        <w:pStyle w:val="ListParagraph"/>
        <w:ind w:left="1080"/>
        <w:jc w:val="both"/>
        <w:rPr>
          <w:rFonts w:ascii="Times New Roman" w:hAnsi="Times New Roman"/>
          <w:snapToGrid w:val="0"/>
          <w:color w:val="000000" w:themeColor="text1"/>
          <w:sz w:val="24"/>
          <w:szCs w:val="24"/>
        </w:rPr>
      </w:pPr>
    </w:p>
    <w:p w14:paraId="65266900" w14:textId="77777777" w:rsidR="00BE0F93" w:rsidRPr="00BE0F93" w:rsidRDefault="00BE0F93" w:rsidP="00BE0F93">
      <w:pPr>
        <w:pStyle w:val="ListParagraph"/>
        <w:numPr>
          <w:ilvl w:val="0"/>
          <w:numId w:val="27"/>
        </w:numPr>
        <w:spacing w:after="0"/>
        <w:jc w:val="center"/>
        <w:rPr>
          <w:rFonts w:ascii="Times New Roman" w:hAnsi="Times New Roman"/>
          <w:b/>
          <w:sz w:val="24"/>
          <w:szCs w:val="24"/>
        </w:rPr>
      </w:pPr>
      <w:r w:rsidRPr="00BE0F93">
        <w:rPr>
          <w:rFonts w:ascii="Times New Roman" w:hAnsi="Times New Roman"/>
          <w:b/>
          <w:bCs/>
          <w:sz w:val="24"/>
          <w:szCs w:val="24"/>
        </w:rPr>
        <w:t>PUŠU REKVĪZĪTI</w:t>
      </w:r>
    </w:p>
    <w:tbl>
      <w:tblPr>
        <w:tblW w:w="9051" w:type="dxa"/>
        <w:tblInd w:w="-106" w:type="dxa"/>
        <w:tblLayout w:type="fixed"/>
        <w:tblLook w:val="0000" w:firstRow="0" w:lastRow="0" w:firstColumn="0" w:lastColumn="0" w:noHBand="0" w:noVBand="0"/>
      </w:tblPr>
      <w:tblGrid>
        <w:gridCol w:w="4354"/>
        <w:gridCol w:w="4697"/>
      </w:tblGrid>
      <w:tr w:rsidR="00BE0F93" w:rsidRPr="00BE0F93" w14:paraId="57A8EEA7" w14:textId="77777777" w:rsidTr="004036D4">
        <w:trPr>
          <w:trHeight w:val="801"/>
        </w:trPr>
        <w:tc>
          <w:tcPr>
            <w:tcW w:w="4354" w:type="dxa"/>
          </w:tcPr>
          <w:p w14:paraId="0D971C4A" w14:textId="77777777" w:rsidR="00BE0F93" w:rsidRPr="00BE0F93" w:rsidRDefault="00BE0F93" w:rsidP="004036D4">
            <w:pPr>
              <w:spacing w:line="276" w:lineRule="auto"/>
              <w:jc w:val="both"/>
              <w:rPr>
                <w:color w:val="000000" w:themeColor="text1"/>
              </w:rPr>
            </w:pPr>
            <w:proofErr w:type="spellStart"/>
            <w:r w:rsidRPr="00BE0F93">
              <w:rPr>
                <w:bCs/>
                <w:color w:val="000000" w:themeColor="text1"/>
              </w:rPr>
              <w:t>Pasūtītājs</w:t>
            </w:r>
            <w:proofErr w:type="spellEnd"/>
            <w:r w:rsidRPr="00BE0F93">
              <w:rPr>
                <w:bCs/>
                <w:color w:val="000000" w:themeColor="text1"/>
              </w:rPr>
              <w:t>:</w:t>
            </w:r>
          </w:p>
          <w:p w14:paraId="7924FCF3" w14:textId="77777777" w:rsidR="00BE0F93" w:rsidRPr="00BE0F93" w:rsidRDefault="00BE0F93" w:rsidP="004036D4">
            <w:pPr>
              <w:spacing w:line="276" w:lineRule="auto"/>
              <w:jc w:val="both"/>
              <w:rPr>
                <w:b/>
                <w:color w:val="000000" w:themeColor="text1"/>
              </w:rPr>
            </w:pPr>
            <w:r w:rsidRPr="00BE0F93">
              <w:rPr>
                <w:b/>
                <w:color w:val="000000" w:themeColor="text1"/>
              </w:rPr>
              <w:t xml:space="preserve">Izglītības un </w:t>
            </w:r>
            <w:proofErr w:type="spellStart"/>
            <w:r w:rsidRPr="00BE0F93">
              <w:rPr>
                <w:b/>
                <w:color w:val="000000" w:themeColor="text1"/>
              </w:rPr>
              <w:t>zinātnes</w:t>
            </w:r>
            <w:proofErr w:type="spellEnd"/>
            <w:r w:rsidRPr="00BE0F93">
              <w:rPr>
                <w:b/>
                <w:color w:val="000000" w:themeColor="text1"/>
              </w:rPr>
              <w:t xml:space="preserve"> </w:t>
            </w:r>
            <w:proofErr w:type="spellStart"/>
            <w:r w:rsidRPr="00BE0F93">
              <w:rPr>
                <w:b/>
                <w:color w:val="000000" w:themeColor="text1"/>
              </w:rPr>
              <w:t>ministrija</w:t>
            </w:r>
            <w:proofErr w:type="spellEnd"/>
          </w:p>
          <w:p w14:paraId="1B08EDB7" w14:textId="77777777" w:rsidR="00BE0F93" w:rsidRPr="00BE0F93" w:rsidRDefault="00BE0F93" w:rsidP="004036D4">
            <w:pPr>
              <w:spacing w:line="276" w:lineRule="auto"/>
              <w:jc w:val="both"/>
              <w:rPr>
                <w:color w:val="000000" w:themeColor="text1"/>
              </w:rPr>
            </w:pPr>
            <w:proofErr w:type="spellStart"/>
            <w:r w:rsidRPr="00BE0F93">
              <w:rPr>
                <w:color w:val="000000" w:themeColor="text1"/>
              </w:rPr>
              <w:t>Reģ</w:t>
            </w:r>
            <w:proofErr w:type="spellEnd"/>
            <w:r w:rsidRPr="00BE0F93">
              <w:rPr>
                <w:color w:val="000000" w:themeColor="text1"/>
              </w:rPr>
              <w:t>. Nr. 90000022399</w:t>
            </w:r>
          </w:p>
          <w:p w14:paraId="40944DA3" w14:textId="77777777" w:rsidR="00BE0F93" w:rsidRPr="00BE0F93" w:rsidRDefault="00BE0F93" w:rsidP="004036D4">
            <w:pPr>
              <w:spacing w:line="276" w:lineRule="auto"/>
              <w:jc w:val="both"/>
              <w:rPr>
                <w:color w:val="000000" w:themeColor="text1"/>
              </w:rPr>
            </w:pPr>
            <w:proofErr w:type="spellStart"/>
            <w:r w:rsidRPr="00BE0F93">
              <w:rPr>
                <w:color w:val="000000" w:themeColor="text1"/>
              </w:rPr>
              <w:t>Vaļņu</w:t>
            </w:r>
            <w:proofErr w:type="spellEnd"/>
            <w:r w:rsidRPr="00BE0F93">
              <w:rPr>
                <w:color w:val="000000" w:themeColor="text1"/>
              </w:rPr>
              <w:t xml:space="preserve"> </w:t>
            </w:r>
            <w:proofErr w:type="spellStart"/>
            <w:r w:rsidRPr="00BE0F93">
              <w:rPr>
                <w:color w:val="000000" w:themeColor="text1"/>
              </w:rPr>
              <w:t>iela</w:t>
            </w:r>
            <w:proofErr w:type="spellEnd"/>
            <w:r w:rsidRPr="00BE0F93">
              <w:rPr>
                <w:color w:val="000000" w:themeColor="text1"/>
              </w:rPr>
              <w:t xml:space="preserve"> 2, </w:t>
            </w:r>
            <w:proofErr w:type="spellStart"/>
            <w:r w:rsidRPr="00BE0F93">
              <w:rPr>
                <w:color w:val="000000" w:themeColor="text1"/>
              </w:rPr>
              <w:t>Rīga</w:t>
            </w:r>
            <w:proofErr w:type="spellEnd"/>
            <w:r w:rsidRPr="00BE0F93">
              <w:rPr>
                <w:color w:val="000000" w:themeColor="text1"/>
              </w:rPr>
              <w:t>, LV-1050</w:t>
            </w:r>
          </w:p>
          <w:p w14:paraId="14733CFC" w14:textId="77777777" w:rsidR="00BE0F93" w:rsidRPr="00BE0F93" w:rsidRDefault="00BE0F93" w:rsidP="004036D4">
            <w:pPr>
              <w:spacing w:line="276" w:lineRule="auto"/>
              <w:jc w:val="both"/>
              <w:rPr>
                <w:color w:val="000000" w:themeColor="text1"/>
              </w:rPr>
            </w:pPr>
            <w:proofErr w:type="spellStart"/>
            <w:r w:rsidRPr="00BE0F93">
              <w:rPr>
                <w:color w:val="000000" w:themeColor="text1"/>
              </w:rPr>
              <w:t>Valsts</w:t>
            </w:r>
            <w:proofErr w:type="spellEnd"/>
            <w:r w:rsidRPr="00BE0F93">
              <w:rPr>
                <w:color w:val="000000" w:themeColor="text1"/>
              </w:rPr>
              <w:t xml:space="preserve"> </w:t>
            </w:r>
            <w:proofErr w:type="spellStart"/>
            <w:r w:rsidRPr="00BE0F93">
              <w:rPr>
                <w:color w:val="000000" w:themeColor="text1"/>
              </w:rPr>
              <w:t>kase</w:t>
            </w:r>
            <w:proofErr w:type="spellEnd"/>
            <w:r w:rsidRPr="00BE0F93">
              <w:rPr>
                <w:color w:val="000000" w:themeColor="text1"/>
              </w:rPr>
              <w:t xml:space="preserve"> </w:t>
            </w:r>
          </w:p>
          <w:p w14:paraId="23F75010" w14:textId="77777777" w:rsidR="00BE0F93" w:rsidRPr="00BE0F93" w:rsidRDefault="00BE0F93" w:rsidP="004036D4">
            <w:pPr>
              <w:spacing w:line="276" w:lineRule="auto"/>
              <w:jc w:val="both"/>
              <w:rPr>
                <w:color w:val="000000" w:themeColor="text1"/>
              </w:rPr>
            </w:pPr>
            <w:r w:rsidRPr="00BE0F93">
              <w:rPr>
                <w:color w:val="000000" w:themeColor="text1"/>
              </w:rPr>
              <w:t>TRELLV22</w:t>
            </w:r>
          </w:p>
          <w:p w14:paraId="61C73859" w14:textId="77777777" w:rsidR="00BE0F93" w:rsidRPr="00BE0F93" w:rsidRDefault="00BE0F93" w:rsidP="004036D4">
            <w:pPr>
              <w:spacing w:line="276" w:lineRule="auto"/>
              <w:jc w:val="both"/>
              <w:rPr>
                <w:color w:val="000000" w:themeColor="text1"/>
              </w:rPr>
            </w:pPr>
            <w:proofErr w:type="spellStart"/>
            <w:r w:rsidRPr="00BE0F93">
              <w:rPr>
                <w:color w:val="000000" w:themeColor="text1"/>
              </w:rPr>
              <w:t>Konta</w:t>
            </w:r>
            <w:proofErr w:type="spellEnd"/>
            <w:r w:rsidRPr="00BE0F93">
              <w:rPr>
                <w:color w:val="000000" w:themeColor="text1"/>
              </w:rPr>
              <w:t xml:space="preserve"> Nr. LV09TREL2150170103000</w:t>
            </w:r>
          </w:p>
          <w:p w14:paraId="32C99390" w14:textId="77777777" w:rsidR="00BE0F93" w:rsidRPr="00BE0F93" w:rsidRDefault="00BE0F93" w:rsidP="004036D4">
            <w:pPr>
              <w:spacing w:line="276" w:lineRule="auto"/>
              <w:jc w:val="both"/>
              <w:rPr>
                <w:bCs/>
                <w:color w:val="000000" w:themeColor="text1"/>
              </w:rPr>
            </w:pPr>
          </w:p>
          <w:p w14:paraId="7A2EBDFF" w14:textId="77777777" w:rsidR="00BE0F93" w:rsidRPr="00BE0F93" w:rsidRDefault="00BE0F93" w:rsidP="004036D4">
            <w:pPr>
              <w:spacing w:line="276" w:lineRule="auto"/>
              <w:jc w:val="both"/>
              <w:rPr>
                <w:color w:val="000000" w:themeColor="text1"/>
              </w:rPr>
            </w:pPr>
          </w:p>
        </w:tc>
        <w:tc>
          <w:tcPr>
            <w:tcW w:w="4697" w:type="dxa"/>
          </w:tcPr>
          <w:p w14:paraId="6E3BD2CD" w14:textId="77777777" w:rsidR="00BE0F93" w:rsidRPr="00BE0F93" w:rsidRDefault="00BE0F93" w:rsidP="004036D4">
            <w:pPr>
              <w:spacing w:line="276" w:lineRule="auto"/>
              <w:jc w:val="both"/>
              <w:rPr>
                <w:color w:val="000000" w:themeColor="text1"/>
              </w:rPr>
            </w:pPr>
            <w:proofErr w:type="spellStart"/>
            <w:r w:rsidRPr="00BE0F93">
              <w:rPr>
                <w:bCs/>
                <w:color w:val="000000" w:themeColor="text1"/>
              </w:rPr>
              <w:t>Izpildītājs</w:t>
            </w:r>
            <w:proofErr w:type="spellEnd"/>
            <w:r w:rsidRPr="00BE0F93">
              <w:rPr>
                <w:bCs/>
                <w:color w:val="000000" w:themeColor="text1"/>
              </w:rPr>
              <w:t>:</w:t>
            </w:r>
          </w:p>
          <w:p w14:paraId="0812E35C" w14:textId="77777777" w:rsidR="00BE0F93" w:rsidRPr="00BE0F93" w:rsidRDefault="00BE0F93" w:rsidP="004036D4">
            <w:pPr>
              <w:tabs>
                <w:tab w:val="left" w:pos="821"/>
              </w:tabs>
              <w:spacing w:line="276" w:lineRule="auto"/>
              <w:jc w:val="both"/>
              <w:rPr>
                <w:color w:val="000000" w:themeColor="text1"/>
              </w:rPr>
            </w:pPr>
            <w:r w:rsidRPr="00BE0F93">
              <w:rPr>
                <w:color w:val="000000" w:themeColor="text1"/>
              </w:rPr>
              <w:tab/>
            </w:r>
          </w:p>
        </w:tc>
      </w:tr>
    </w:tbl>
    <w:p w14:paraId="06D85948" w14:textId="77777777" w:rsidR="00BE0F93" w:rsidRPr="00BE0F93" w:rsidRDefault="00BE0F93" w:rsidP="00BE0F93">
      <w:pPr>
        <w:spacing w:line="276" w:lineRule="auto"/>
        <w:rPr>
          <w:color w:val="000000"/>
        </w:rPr>
      </w:pPr>
    </w:p>
    <w:p w14:paraId="4EFB0A2A" w14:textId="77777777" w:rsidR="00BE0F93" w:rsidRPr="00BE0F93" w:rsidRDefault="00BE0F93" w:rsidP="00BE0F93">
      <w:pPr>
        <w:jc w:val="both"/>
      </w:pPr>
    </w:p>
    <w:sectPr w:rsidR="00BE0F93" w:rsidRPr="00BE0F93" w:rsidSect="00B474AE">
      <w:pgSz w:w="11906" w:h="16838"/>
      <w:pgMar w:top="902" w:right="1134" w:bottom="720" w:left="16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6665D" w14:textId="77777777" w:rsidR="00043FBC" w:rsidRDefault="00043FBC" w:rsidP="006F7272">
      <w:r>
        <w:separator/>
      </w:r>
    </w:p>
  </w:endnote>
  <w:endnote w:type="continuationSeparator" w:id="0">
    <w:p w14:paraId="76A5D21A" w14:textId="77777777" w:rsidR="00043FBC" w:rsidRDefault="00043FBC" w:rsidP="006F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660A1" w14:textId="77777777" w:rsidR="00043FBC" w:rsidRDefault="00043FBC" w:rsidP="006F7272">
      <w:r>
        <w:separator/>
      </w:r>
    </w:p>
  </w:footnote>
  <w:footnote w:type="continuationSeparator" w:id="0">
    <w:p w14:paraId="5FD44A68" w14:textId="77777777" w:rsidR="00043FBC" w:rsidRDefault="00043FBC" w:rsidP="006F7272">
      <w:r>
        <w:continuationSeparator/>
      </w:r>
    </w:p>
  </w:footnote>
  <w:footnote w:id="1">
    <w:p w14:paraId="4FC5A6C4" w14:textId="69B71BD3" w:rsidR="006F7272" w:rsidRPr="006F7272" w:rsidRDefault="006F7272">
      <w:pPr>
        <w:pStyle w:val="FootnoteText"/>
        <w:rPr>
          <w:lang w:val="lv-LV"/>
        </w:rPr>
      </w:pPr>
      <w:r>
        <w:rPr>
          <w:rStyle w:val="FootnoteReference"/>
        </w:rPr>
        <w:footnoteRef/>
      </w:r>
      <w:r>
        <w:t xml:space="preserve"> </w:t>
      </w:r>
      <w:proofErr w:type="spellStart"/>
      <w:r w:rsidR="00BA6687">
        <w:t>P</w:t>
      </w:r>
      <w:r>
        <w:t>ieejami</w:t>
      </w:r>
      <w:proofErr w:type="spellEnd"/>
      <w:r>
        <w:t xml:space="preserve">: </w:t>
      </w:r>
      <w:r w:rsidRPr="006F7272">
        <w:t>https://likumi.lv/ta/id/283668-par-valsts-budzeta-merkdotaciju-pedagogu-darba-samaksai-pasvaldibu-visparejas-izglitibas-iestades-un-valsts-augstskolu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694D42"/>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0358C0"/>
    <w:multiLevelType w:val="hybridMultilevel"/>
    <w:tmpl w:val="8A3A7CF8"/>
    <w:lvl w:ilvl="0" w:tplc="5BEE3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64976"/>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2D17EC"/>
    <w:multiLevelType w:val="hybridMultilevel"/>
    <w:tmpl w:val="5D7C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D57CA"/>
    <w:multiLevelType w:val="hybridMultilevel"/>
    <w:tmpl w:val="635C4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433761"/>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0AA4A2C"/>
    <w:multiLevelType w:val="hybridMultilevel"/>
    <w:tmpl w:val="E58A67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C70AB8"/>
    <w:multiLevelType w:val="multilevel"/>
    <w:tmpl w:val="D45ED014"/>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28503B1"/>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E562D3"/>
    <w:multiLevelType w:val="hybridMultilevel"/>
    <w:tmpl w:val="F16E9B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2907BBC"/>
    <w:multiLevelType w:val="multilevel"/>
    <w:tmpl w:val="3C004D6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32E20A6"/>
    <w:multiLevelType w:val="hybridMultilevel"/>
    <w:tmpl w:val="1FF2D6C0"/>
    <w:lvl w:ilvl="0" w:tplc="806C436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597A03"/>
    <w:multiLevelType w:val="hybridMultilevel"/>
    <w:tmpl w:val="2FDE9C16"/>
    <w:lvl w:ilvl="0" w:tplc="A576087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3D430444"/>
    <w:multiLevelType w:val="hybridMultilevel"/>
    <w:tmpl w:val="8B64F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5B5652C"/>
    <w:multiLevelType w:val="multilevel"/>
    <w:tmpl w:val="16E0E096"/>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b w:val="0"/>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862" w:hanging="720"/>
      </w:pPr>
      <w:rPr>
        <w:rFonts w:cs="Times New Roman" w:hint="default"/>
        <w:sz w:val="24"/>
        <w:szCs w:val="24"/>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nsid w:val="46A43813"/>
    <w:multiLevelType w:val="multilevel"/>
    <w:tmpl w:val="24088D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458028A"/>
    <w:multiLevelType w:val="hybridMultilevel"/>
    <w:tmpl w:val="18FCE92A"/>
    <w:lvl w:ilvl="0" w:tplc="A5760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4AD4404"/>
    <w:multiLevelType w:val="hybridMultilevel"/>
    <w:tmpl w:val="0A408D5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56AC4545"/>
    <w:multiLevelType w:val="hybridMultilevel"/>
    <w:tmpl w:val="DC96F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6C22106"/>
    <w:multiLevelType w:val="hybridMultilevel"/>
    <w:tmpl w:val="15E677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5F980B5E"/>
    <w:multiLevelType w:val="multilevel"/>
    <w:tmpl w:val="56A425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631F7A85"/>
    <w:multiLevelType w:val="hybridMultilevel"/>
    <w:tmpl w:val="13F065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886410"/>
    <w:multiLevelType w:val="hybridMultilevel"/>
    <w:tmpl w:val="51E2C9A0"/>
    <w:lvl w:ilvl="0" w:tplc="C15EA52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2175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8DC526F"/>
    <w:multiLevelType w:val="hybridMultilevel"/>
    <w:tmpl w:val="63BEE5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D480BB7"/>
    <w:multiLevelType w:val="multilevel"/>
    <w:tmpl w:val="DBA040AE"/>
    <w:lvl w:ilvl="0">
      <w:start w:val="5"/>
      <w:numFmt w:val="decimal"/>
      <w:lvlText w:val="%1."/>
      <w:lvlJc w:val="left"/>
      <w:pPr>
        <w:ind w:left="735" w:hanging="360"/>
      </w:pPr>
      <w:rPr>
        <w:rFonts w:hint="default"/>
      </w:rPr>
    </w:lvl>
    <w:lvl w:ilvl="1">
      <w:start w:val="1"/>
      <w:numFmt w:val="decimal"/>
      <w:isLgl/>
      <w:lvlText w:val="%1.%2."/>
      <w:lvlJc w:val="left"/>
      <w:pPr>
        <w:ind w:left="1164" w:hanging="444"/>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0" w:hanging="1440"/>
      </w:pPr>
      <w:rPr>
        <w:rFonts w:hint="default"/>
      </w:rPr>
    </w:lvl>
    <w:lvl w:ilvl="8">
      <w:start w:val="1"/>
      <w:numFmt w:val="decimal"/>
      <w:isLgl/>
      <w:lvlText w:val="%1.%2.%3.%4.%5.%6.%7.%8.%9."/>
      <w:lvlJc w:val="left"/>
      <w:pPr>
        <w:ind w:left="4935" w:hanging="1800"/>
      </w:pPr>
      <w:rPr>
        <w:rFonts w:hint="default"/>
      </w:rPr>
    </w:lvl>
  </w:abstractNum>
  <w:num w:numId="1">
    <w:abstractNumId w:val="0"/>
  </w:num>
  <w:num w:numId="2">
    <w:abstractNumId w:val="14"/>
  </w:num>
  <w:num w:numId="3">
    <w:abstractNumId w:val="2"/>
  </w:num>
  <w:num w:numId="4">
    <w:abstractNumId w:val="8"/>
  </w:num>
  <w:num w:numId="5">
    <w:abstractNumId w:val="23"/>
  </w:num>
  <w:num w:numId="6">
    <w:abstractNumId w:val="4"/>
  </w:num>
  <w:num w:numId="7">
    <w:abstractNumId w:val="6"/>
  </w:num>
  <w:num w:numId="8">
    <w:abstractNumId w:val="12"/>
  </w:num>
  <w:num w:numId="9">
    <w:abstractNumId w:val="26"/>
  </w:num>
  <w:num w:numId="10">
    <w:abstractNumId w:val="22"/>
  </w:num>
  <w:num w:numId="11">
    <w:abstractNumId w:val="7"/>
  </w:num>
  <w:num w:numId="12">
    <w:abstractNumId w:val="18"/>
  </w:num>
  <w:num w:numId="13">
    <w:abstractNumId w:val="25"/>
  </w:num>
  <w:num w:numId="14">
    <w:abstractNumId w:val="3"/>
  </w:num>
  <w:num w:numId="15">
    <w:abstractNumId w:val="10"/>
  </w:num>
  <w:num w:numId="16">
    <w:abstractNumId w:val="5"/>
  </w:num>
  <w:num w:numId="17">
    <w:abstractNumId w:val="19"/>
  </w:num>
  <w:num w:numId="18">
    <w:abstractNumId w:val="24"/>
  </w:num>
  <w:num w:numId="19">
    <w:abstractNumId w:val="15"/>
  </w:num>
  <w:num w:numId="20">
    <w:abstractNumId w:val="1"/>
  </w:num>
  <w:num w:numId="21">
    <w:abstractNumId w:val="11"/>
  </w:num>
  <w:num w:numId="22">
    <w:abstractNumId w:val="9"/>
  </w:num>
  <w:num w:numId="23">
    <w:abstractNumId w:val="20"/>
  </w:num>
  <w:num w:numId="24">
    <w:abstractNumId w:val="17"/>
  </w:num>
  <w:num w:numId="25">
    <w:abstractNumId w:val="13"/>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14"/>
    <w:rsid w:val="0001211F"/>
    <w:rsid w:val="00012833"/>
    <w:rsid w:val="00021C39"/>
    <w:rsid w:val="000248A2"/>
    <w:rsid w:val="00035B08"/>
    <w:rsid w:val="00036317"/>
    <w:rsid w:val="00037249"/>
    <w:rsid w:val="00043A4E"/>
    <w:rsid w:val="00043FBC"/>
    <w:rsid w:val="00053E26"/>
    <w:rsid w:val="00055BD1"/>
    <w:rsid w:val="00065C20"/>
    <w:rsid w:val="00066A5A"/>
    <w:rsid w:val="00072FEE"/>
    <w:rsid w:val="00074FF3"/>
    <w:rsid w:val="00087850"/>
    <w:rsid w:val="00094054"/>
    <w:rsid w:val="0009753C"/>
    <w:rsid w:val="000A2A6B"/>
    <w:rsid w:val="000A7AE7"/>
    <w:rsid w:val="000B43AD"/>
    <w:rsid w:val="000C4848"/>
    <w:rsid w:val="000D1D55"/>
    <w:rsid w:val="000D1DB0"/>
    <w:rsid w:val="00103564"/>
    <w:rsid w:val="00103B7A"/>
    <w:rsid w:val="00115A5D"/>
    <w:rsid w:val="00131313"/>
    <w:rsid w:val="00136153"/>
    <w:rsid w:val="00150E79"/>
    <w:rsid w:val="00153B27"/>
    <w:rsid w:val="001668D4"/>
    <w:rsid w:val="001668D9"/>
    <w:rsid w:val="00172A27"/>
    <w:rsid w:val="001762AE"/>
    <w:rsid w:val="00176E7E"/>
    <w:rsid w:val="0019018A"/>
    <w:rsid w:val="00195AC5"/>
    <w:rsid w:val="001A0114"/>
    <w:rsid w:val="001A2D05"/>
    <w:rsid w:val="001C148C"/>
    <w:rsid w:val="001C14D4"/>
    <w:rsid w:val="001C4782"/>
    <w:rsid w:val="001D1773"/>
    <w:rsid w:val="001E01C5"/>
    <w:rsid w:val="001E188F"/>
    <w:rsid w:val="001E2AF7"/>
    <w:rsid w:val="001E2D38"/>
    <w:rsid w:val="001E7D6C"/>
    <w:rsid w:val="001F2DCB"/>
    <w:rsid w:val="002045FA"/>
    <w:rsid w:val="00214E89"/>
    <w:rsid w:val="0022055F"/>
    <w:rsid w:val="002524BC"/>
    <w:rsid w:val="0026164A"/>
    <w:rsid w:val="002829D7"/>
    <w:rsid w:val="002942F7"/>
    <w:rsid w:val="002A684A"/>
    <w:rsid w:val="002A7446"/>
    <w:rsid w:val="002C12F0"/>
    <w:rsid w:val="002D481A"/>
    <w:rsid w:val="002D55B0"/>
    <w:rsid w:val="002D61BC"/>
    <w:rsid w:val="002E007B"/>
    <w:rsid w:val="002F0124"/>
    <w:rsid w:val="002F21D4"/>
    <w:rsid w:val="002F2BE9"/>
    <w:rsid w:val="002F7985"/>
    <w:rsid w:val="00323112"/>
    <w:rsid w:val="00332790"/>
    <w:rsid w:val="00372974"/>
    <w:rsid w:val="003909E4"/>
    <w:rsid w:val="0039321D"/>
    <w:rsid w:val="003B0082"/>
    <w:rsid w:val="003B06BE"/>
    <w:rsid w:val="003B0DB7"/>
    <w:rsid w:val="003B2C8F"/>
    <w:rsid w:val="003C16A5"/>
    <w:rsid w:val="003C33B3"/>
    <w:rsid w:val="003C6478"/>
    <w:rsid w:val="003E0D8C"/>
    <w:rsid w:val="003F2A1C"/>
    <w:rsid w:val="003F4AAD"/>
    <w:rsid w:val="00406F72"/>
    <w:rsid w:val="004216A3"/>
    <w:rsid w:val="00426E1D"/>
    <w:rsid w:val="0042770A"/>
    <w:rsid w:val="00437E3F"/>
    <w:rsid w:val="00455D28"/>
    <w:rsid w:val="004606A8"/>
    <w:rsid w:val="00460C85"/>
    <w:rsid w:val="00462C5A"/>
    <w:rsid w:val="00466880"/>
    <w:rsid w:val="004879F8"/>
    <w:rsid w:val="00494814"/>
    <w:rsid w:val="0049619D"/>
    <w:rsid w:val="004B0846"/>
    <w:rsid w:val="004B3F15"/>
    <w:rsid w:val="004D4292"/>
    <w:rsid w:val="004E3A70"/>
    <w:rsid w:val="004E6BAC"/>
    <w:rsid w:val="004E7CB7"/>
    <w:rsid w:val="004F0DA9"/>
    <w:rsid w:val="004F6707"/>
    <w:rsid w:val="004F7D92"/>
    <w:rsid w:val="0051328A"/>
    <w:rsid w:val="00514797"/>
    <w:rsid w:val="00535C39"/>
    <w:rsid w:val="00541841"/>
    <w:rsid w:val="00542210"/>
    <w:rsid w:val="005425E0"/>
    <w:rsid w:val="005459EB"/>
    <w:rsid w:val="00546C69"/>
    <w:rsid w:val="005513D7"/>
    <w:rsid w:val="0055152F"/>
    <w:rsid w:val="00552069"/>
    <w:rsid w:val="00553121"/>
    <w:rsid w:val="00565041"/>
    <w:rsid w:val="00566D22"/>
    <w:rsid w:val="00575E74"/>
    <w:rsid w:val="005803A3"/>
    <w:rsid w:val="00593B4C"/>
    <w:rsid w:val="005A3E67"/>
    <w:rsid w:val="005A5564"/>
    <w:rsid w:val="005C331F"/>
    <w:rsid w:val="005D5412"/>
    <w:rsid w:val="005D61F7"/>
    <w:rsid w:val="005E41CD"/>
    <w:rsid w:val="005F50FC"/>
    <w:rsid w:val="00603530"/>
    <w:rsid w:val="00612B35"/>
    <w:rsid w:val="00631635"/>
    <w:rsid w:val="00645B94"/>
    <w:rsid w:val="00646677"/>
    <w:rsid w:val="00650BE7"/>
    <w:rsid w:val="006540E3"/>
    <w:rsid w:val="00666BDC"/>
    <w:rsid w:val="00680746"/>
    <w:rsid w:val="006A40DA"/>
    <w:rsid w:val="006A43A8"/>
    <w:rsid w:val="006A790A"/>
    <w:rsid w:val="006B20C8"/>
    <w:rsid w:val="006C0ECF"/>
    <w:rsid w:val="006E760D"/>
    <w:rsid w:val="006F5C9B"/>
    <w:rsid w:val="006F7272"/>
    <w:rsid w:val="006F7862"/>
    <w:rsid w:val="00706299"/>
    <w:rsid w:val="00723909"/>
    <w:rsid w:val="00723EE2"/>
    <w:rsid w:val="00733004"/>
    <w:rsid w:val="0073784B"/>
    <w:rsid w:val="00747834"/>
    <w:rsid w:val="007539EB"/>
    <w:rsid w:val="007615C9"/>
    <w:rsid w:val="0076450E"/>
    <w:rsid w:val="0076660E"/>
    <w:rsid w:val="00771F31"/>
    <w:rsid w:val="007940C6"/>
    <w:rsid w:val="007B0223"/>
    <w:rsid w:val="007B2E6D"/>
    <w:rsid w:val="007B30FE"/>
    <w:rsid w:val="007B736A"/>
    <w:rsid w:val="007C1051"/>
    <w:rsid w:val="007D0199"/>
    <w:rsid w:val="007E4D18"/>
    <w:rsid w:val="007F0605"/>
    <w:rsid w:val="00807D1C"/>
    <w:rsid w:val="00810DC4"/>
    <w:rsid w:val="008157A1"/>
    <w:rsid w:val="008239D1"/>
    <w:rsid w:val="008621EE"/>
    <w:rsid w:val="00891A80"/>
    <w:rsid w:val="008A1C93"/>
    <w:rsid w:val="008A1DA4"/>
    <w:rsid w:val="008A4C5D"/>
    <w:rsid w:val="008A5E2C"/>
    <w:rsid w:val="008A76D4"/>
    <w:rsid w:val="008C2CF8"/>
    <w:rsid w:val="008D49EC"/>
    <w:rsid w:val="008D6087"/>
    <w:rsid w:val="008E1FE6"/>
    <w:rsid w:val="008F1209"/>
    <w:rsid w:val="008F3DE4"/>
    <w:rsid w:val="008F6794"/>
    <w:rsid w:val="009019FB"/>
    <w:rsid w:val="009059D2"/>
    <w:rsid w:val="00914687"/>
    <w:rsid w:val="00923897"/>
    <w:rsid w:val="00924D18"/>
    <w:rsid w:val="00925659"/>
    <w:rsid w:val="009338D7"/>
    <w:rsid w:val="0094501B"/>
    <w:rsid w:val="00950323"/>
    <w:rsid w:val="00950D46"/>
    <w:rsid w:val="0095731B"/>
    <w:rsid w:val="00962D38"/>
    <w:rsid w:val="00966DD3"/>
    <w:rsid w:val="00982F9C"/>
    <w:rsid w:val="009875D7"/>
    <w:rsid w:val="00992AC6"/>
    <w:rsid w:val="00992FC3"/>
    <w:rsid w:val="00997C50"/>
    <w:rsid w:val="009A289B"/>
    <w:rsid w:val="009C7E6B"/>
    <w:rsid w:val="009D0998"/>
    <w:rsid w:val="009D5D46"/>
    <w:rsid w:val="009E2690"/>
    <w:rsid w:val="009E485E"/>
    <w:rsid w:val="009E6699"/>
    <w:rsid w:val="009E7C72"/>
    <w:rsid w:val="009F4BDF"/>
    <w:rsid w:val="00A1055C"/>
    <w:rsid w:val="00A30F00"/>
    <w:rsid w:val="00A3222D"/>
    <w:rsid w:val="00A44C45"/>
    <w:rsid w:val="00A700E8"/>
    <w:rsid w:val="00A705F5"/>
    <w:rsid w:val="00A8391D"/>
    <w:rsid w:val="00A84515"/>
    <w:rsid w:val="00A85200"/>
    <w:rsid w:val="00A933A7"/>
    <w:rsid w:val="00A93829"/>
    <w:rsid w:val="00A95670"/>
    <w:rsid w:val="00A96041"/>
    <w:rsid w:val="00A97547"/>
    <w:rsid w:val="00AA6500"/>
    <w:rsid w:val="00AB39E0"/>
    <w:rsid w:val="00AB520D"/>
    <w:rsid w:val="00AB79C1"/>
    <w:rsid w:val="00AC2B30"/>
    <w:rsid w:val="00AD472E"/>
    <w:rsid w:val="00AD4C66"/>
    <w:rsid w:val="00AD7B99"/>
    <w:rsid w:val="00AE4762"/>
    <w:rsid w:val="00B02B02"/>
    <w:rsid w:val="00B05056"/>
    <w:rsid w:val="00B07638"/>
    <w:rsid w:val="00B07FF0"/>
    <w:rsid w:val="00B13744"/>
    <w:rsid w:val="00B15530"/>
    <w:rsid w:val="00B202F0"/>
    <w:rsid w:val="00B22BE0"/>
    <w:rsid w:val="00B231AD"/>
    <w:rsid w:val="00B249B9"/>
    <w:rsid w:val="00B412E3"/>
    <w:rsid w:val="00B41F02"/>
    <w:rsid w:val="00B435DF"/>
    <w:rsid w:val="00B474AE"/>
    <w:rsid w:val="00B57E06"/>
    <w:rsid w:val="00B6580B"/>
    <w:rsid w:val="00B65B32"/>
    <w:rsid w:val="00B65F4D"/>
    <w:rsid w:val="00B667A4"/>
    <w:rsid w:val="00B738E9"/>
    <w:rsid w:val="00BA37A0"/>
    <w:rsid w:val="00BA4F0D"/>
    <w:rsid w:val="00BA6687"/>
    <w:rsid w:val="00BA6AE6"/>
    <w:rsid w:val="00BA7684"/>
    <w:rsid w:val="00BC1697"/>
    <w:rsid w:val="00BC4AE5"/>
    <w:rsid w:val="00BD4E8F"/>
    <w:rsid w:val="00BE0F93"/>
    <w:rsid w:val="00C026D6"/>
    <w:rsid w:val="00C02D32"/>
    <w:rsid w:val="00C0473B"/>
    <w:rsid w:val="00C102FF"/>
    <w:rsid w:val="00C32F87"/>
    <w:rsid w:val="00C355FB"/>
    <w:rsid w:val="00C41ED7"/>
    <w:rsid w:val="00C4580D"/>
    <w:rsid w:val="00C506F8"/>
    <w:rsid w:val="00C51EBF"/>
    <w:rsid w:val="00C656C9"/>
    <w:rsid w:val="00C72C90"/>
    <w:rsid w:val="00C805CB"/>
    <w:rsid w:val="00C82B5F"/>
    <w:rsid w:val="00C85BFE"/>
    <w:rsid w:val="00C918C4"/>
    <w:rsid w:val="00CA28D6"/>
    <w:rsid w:val="00CB1A34"/>
    <w:rsid w:val="00CC271C"/>
    <w:rsid w:val="00CC6A78"/>
    <w:rsid w:val="00CD4E3F"/>
    <w:rsid w:val="00CD5413"/>
    <w:rsid w:val="00CE1CB6"/>
    <w:rsid w:val="00CE664B"/>
    <w:rsid w:val="00D058AC"/>
    <w:rsid w:val="00D065CF"/>
    <w:rsid w:val="00D13023"/>
    <w:rsid w:val="00D2694D"/>
    <w:rsid w:val="00D36F3B"/>
    <w:rsid w:val="00D43A2D"/>
    <w:rsid w:val="00D46C7D"/>
    <w:rsid w:val="00D56B94"/>
    <w:rsid w:val="00D6508F"/>
    <w:rsid w:val="00D74F9C"/>
    <w:rsid w:val="00DA166B"/>
    <w:rsid w:val="00DA1F17"/>
    <w:rsid w:val="00DA610E"/>
    <w:rsid w:val="00DA7553"/>
    <w:rsid w:val="00DC12F9"/>
    <w:rsid w:val="00DC664C"/>
    <w:rsid w:val="00DC792F"/>
    <w:rsid w:val="00DD3CF4"/>
    <w:rsid w:val="00DD53DF"/>
    <w:rsid w:val="00DE33DC"/>
    <w:rsid w:val="00DF78AE"/>
    <w:rsid w:val="00E0742E"/>
    <w:rsid w:val="00E15EE7"/>
    <w:rsid w:val="00E162B9"/>
    <w:rsid w:val="00E16F6B"/>
    <w:rsid w:val="00E56390"/>
    <w:rsid w:val="00E61B1A"/>
    <w:rsid w:val="00E6388D"/>
    <w:rsid w:val="00E741C3"/>
    <w:rsid w:val="00E7721B"/>
    <w:rsid w:val="00E83574"/>
    <w:rsid w:val="00E8419B"/>
    <w:rsid w:val="00E90F03"/>
    <w:rsid w:val="00E963C3"/>
    <w:rsid w:val="00EA5CBA"/>
    <w:rsid w:val="00EA602C"/>
    <w:rsid w:val="00EC2BB4"/>
    <w:rsid w:val="00EC65CF"/>
    <w:rsid w:val="00ED43FD"/>
    <w:rsid w:val="00ED7573"/>
    <w:rsid w:val="00EE169F"/>
    <w:rsid w:val="00EE41E9"/>
    <w:rsid w:val="00EF10A2"/>
    <w:rsid w:val="00EF5800"/>
    <w:rsid w:val="00F05B76"/>
    <w:rsid w:val="00F13471"/>
    <w:rsid w:val="00F23ED5"/>
    <w:rsid w:val="00F341B9"/>
    <w:rsid w:val="00F365F8"/>
    <w:rsid w:val="00F43175"/>
    <w:rsid w:val="00F52694"/>
    <w:rsid w:val="00F52FFA"/>
    <w:rsid w:val="00F6173B"/>
    <w:rsid w:val="00F63516"/>
    <w:rsid w:val="00F713B5"/>
    <w:rsid w:val="00F803A6"/>
    <w:rsid w:val="00F849B8"/>
    <w:rsid w:val="00F937AC"/>
    <w:rsid w:val="00FA3D06"/>
    <w:rsid w:val="00FC1EC2"/>
    <w:rsid w:val="00FC64B3"/>
    <w:rsid w:val="00FE783E"/>
    <w:rsid w:val="00FF5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4772C6"/>
  <w15:chartTrackingRefBased/>
  <w15:docId w15:val="{1DDB1AEF-E30E-46B3-8E88-416C772A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GB" w:eastAsia="zh-CN"/>
    </w:rPr>
  </w:style>
  <w:style w:type="paragraph" w:styleId="Heading1">
    <w:name w:val="heading 1"/>
    <w:basedOn w:val="Normal"/>
    <w:next w:val="Normal"/>
    <w:qFormat/>
    <w:pPr>
      <w:keepNext/>
      <w:numPr>
        <w:numId w:val="1"/>
      </w:numPr>
      <w:outlineLvl w:val="0"/>
    </w:pPr>
    <w:rPr>
      <w:b/>
      <w:bCs/>
      <w:lang w:val="lv-LV"/>
    </w:rPr>
  </w:style>
  <w:style w:type="paragraph" w:styleId="Heading2">
    <w:name w:val="heading 2"/>
    <w:basedOn w:val="Normal"/>
    <w:next w:val="Normal"/>
    <w:link w:val="Heading2Char"/>
    <w:uiPriority w:val="9"/>
    <w:unhideWhenUsed/>
    <w:qFormat/>
    <w:rsid w:val="00B050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pPr>
      <w:numPr>
        <w:ilvl w:val="4"/>
        <w:numId w:val="1"/>
      </w:numPr>
      <w:spacing w:before="240" w:after="60"/>
      <w:outlineLvl w:val="4"/>
    </w:pPr>
    <w:rPr>
      <w:rFonts w:ascii="Calibri" w:hAnsi="Calibri" w:cs="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eastAsia="Times New Roman" w:hAnsi="Symbol" w:cs="Times New Roman" w:hint="default"/>
      <w:color w:val="FF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0"/>
    </w:rPr>
  </w:style>
  <w:style w:type="character" w:customStyle="1" w:styleId="WW8Num4z1">
    <w:name w:val="WW8Num4z1"/>
    <w:rPr>
      <w:rFonts w:ascii="Courier New" w:hAnsi="Courier New" w:cs="Courier New" w:hint="default"/>
      <w:sz w:val="20"/>
    </w:rPr>
  </w:style>
  <w:style w:type="character" w:customStyle="1" w:styleId="WW8Num4z2">
    <w:name w:val="WW8Num4z2"/>
    <w:rPr>
      <w:rFonts w:ascii="Wingdings" w:hAnsi="Wingdings" w:cs="Wingdings" w:hint="default"/>
      <w:sz w:val="20"/>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shorttext">
    <w:name w:val="short_text"/>
  </w:style>
  <w:style w:type="character" w:customStyle="1" w:styleId="hps">
    <w:name w:val="hps"/>
  </w:style>
  <w:style w:type="character" w:customStyle="1" w:styleId="st">
    <w:name w:val="st"/>
  </w:style>
  <w:style w:type="character" w:styleId="Emphasis">
    <w:name w:val="Emphasis"/>
    <w:qFormat/>
    <w:rPr>
      <w:i/>
      <w:iCs/>
    </w:rPr>
  </w:style>
  <w:style w:type="character" w:customStyle="1" w:styleId="FooterChar">
    <w:name w:val="Footer Char"/>
    <w:rPr>
      <w:rFonts w:ascii="Calibri" w:eastAsia="Calibri" w:hAnsi="Calibri" w:cs="Calibri"/>
      <w:sz w:val="22"/>
      <w:szCs w:val="22"/>
    </w:rPr>
  </w:style>
  <w:style w:type="character" w:customStyle="1" w:styleId="apple-converted-space">
    <w:name w:val="apple-converted-space"/>
  </w:style>
  <w:style w:type="character" w:customStyle="1" w:styleId="Heading5Char">
    <w:name w:val="Heading 5 Char"/>
    <w:rPr>
      <w:rFonts w:ascii="Calibri" w:eastAsia="Times New Roman" w:hAnsi="Calibri" w:cs="Times New Roman"/>
      <w:b/>
      <w:bCs/>
      <w:i/>
      <w:iCs/>
      <w:sz w:val="26"/>
      <w:szCs w:val="26"/>
      <w:lang w:val="en-GB"/>
    </w:rPr>
  </w:style>
  <w:style w:type="character" w:styleId="Strong">
    <w:name w:val="Strong"/>
    <w:qFormat/>
    <w:rPr>
      <w:b/>
      <w:bCs/>
    </w:rPr>
  </w:style>
  <w:style w:type="character" w:customStyle="1" w:styleId="BalloonTextChar">
    <w:name w:val="Balloon Text Char"/>
    <w:rPr>
      <w:rFonts w:ascii="Tahoma" w:hAnsi="Tahoma" w:cs="Tahoma"/>
      <w:sz w:val="16"/>
      <w:szCs w:val="16"/>
      <w:lang w:val="en-GB"/>
    </w:rPr>
  </w:style>
  <w:style w:type="character" w:styleId="CommentReference">
    <w:name w:val="annotation reference"/>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span4">
    <w:name w:val="span4"/>
    <w:basedOn w:val="DefaultParagraphFont"/>
  </w:style>
  <w:style w:type="character" w:customStyle="1" w:styleId="span8">
    <w:name w:val="span8"/>
    <w:basedOn w:val="DefaultParagraphFont"/>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rPr>
      <w:i/>
      <w:iCs/>
      <w:lang w:val="lv-LV"/>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isf">
    <w:name w:val="naisf"/>
    <w:basedOn w:val="Normal"/>
    <w:pPr>
      <w:spacing w:before="75" w:after="75"/>
      <w:ind w:firstLine="375"/>
      <w:jc w:val="both"/>
    </w:pPr>
    <w:rPr>
      <w:lang w:val="lv-LV"/>
    </w:rPr>
  </w:style>
  <w:style w:type="paragraph" w:customStyle="1" w:styleId="naisnod">
    <w:name w:val="naisnod"/>
    <w:basedOn w:val="Normal"/>
    <w:pPr>
      <w:spacing w:before="150" w:after="150"/>
      <w:jc w:val="center"/>
    </w:pPr>
    <w:rPr>
      <w:b/>
      <w:bCs/>
      <w:lang w:val="lv-LV"/>
    </w:rPr>
  </w:style>
  <w:style w:type="paragraph" w:customStyle="1" w:styleId="naislab">
    <w:name w:val="naislab"/>
    <w:basedOn w:val="Normal"/>
    <w:pPr>
      <w:spacing w:before="75" w:after="75"/>
      <w:jc w:val="right"/>
    </w:pPr>
    <w:rPr>
      <w:lang w:val="lv-LV"/>
    </w:rPr>
  </w:style>
  <w:style w:type="paragraph" w:customStyle="1" w:styleId="naiskr">
    <w:name w:val="naiskr"/>
    <w:basedOn w:val="Normal"/>
    <w:pPr>
      <w:spacing w:before="75" w:after="75"/>
    </w:pPr>
    <w:rPr>
      <w:lang w:val="lv-LV"/>
    </w:rPr>
  </w:style>
  <w:style w:type="paragraph" w:customStyle="1" w:styleId="naisc">
    <w:name w:val="naisc"/>
    <w:basedOn w:val="Normal"/>
    <w:pPr>
      <w:spacing w:before="75" w:after="75"/>
      <w:jc w:val="center"/>
    </w:pPr>
    <w:rPr>
      <w:lang w:val="lv-LV"/>
    </w:rPr>
  </w:style>
  <w:style w:type="paragraph" w:styleId="BodyText2">
    <w:name w:val="Body Text 2"/>
    <w:basedOn w:val="Normal"/>
    <w:rPr>
      <w:sz w:val="20"/>
      <w:lang w:val="lv-LV"/>
    </w:rPr>
  </w:style>
  <w:style w:type="paragraph" w:styleId="BodyText3">
    <w:name w:val="Body Text 3"/>
    <w:basedOn w:val="Normal"/>
    <w:pPr>
      <w:spacing w:before="240"/>
      <w:jc w:val="both"/>
    </w:pPr>
    <w:rPr>
      <w:lang w:val="lv-LV"/>
    </w:rPr>
  </w:style>
  <w:style w:type="paragraph" w:styleId="BodyTextIndent">
    <w:name w:val="Body Text Indent"/>
    <w:basedOn w:val="Normal"/>
    <w:pPr>
      <w:ind w:firstLine="180"/>
    </w:pPr>
    <w:rPr>
      <w:i/>
      <w:iCs/>
      <w:sz w:val="20"/>
      <w:lang w:val="lv-LV"/>
    </w:rPr>
  </w:style>
  <w:style w:type="paragraph" w:styleId="NormalWeb">
    <w:name w:val="Normal (Web)"/>
    <w:basedOn w:val="Normal"/>
    <w:pPr>
      <w:spacing w:before="280" w:after="280"/>
    </w:pPr>
    <w:rPr>
      <w:lang w:val="lv-LV"/>
    </w:rPr>
  </w:style>
  <w:style w:type="paragraph" w:styleId="ListParagraph">
    <w:name w:val="List Paragraph"/>
    <w:aliases w:val="2,H&amp;P List Paragraph,Virsraksti,Strip,Syle 1,Numurets,Normal bullet 2,Bullet list,Akapit z listą BS,Numbered Para 1,Dot pt,No Spacing1,List Paragraph Char Char Char,Indicator Text,Bullet 1,Bullet Points,MAIN CONTENT,PPS_Bullet,syle 1"/>
    <w:basedOn w:val="Normal"/>
    <w:link w:val="ListParagraphChar"/>
    <w:uiPriority w:val="34"/>
    <w:qFormat/>
    <w:pPr>
      <w:spacing w:after="200" w:line="276" w:lineRule="auto"/>
      <w:ind w:left="720"/>
      <w:contextualSpacing/>
    </w:pPr>
    <w:rPr>
      <w:rFonts w:ascii="Calibri" w:eastAsia="Calibri" w:hAnsi="Calibri"/>
      <w:sz w:val="22"/>
      <w:szCs w:val="22"/>
      <w:lang w:val="lv-LV"/>
    </w:rPr>
  </w:style>
  <w:style w:type="paragraph" w:styleId="Footer">
    <w:name w:val="footer"/>
    <w:basedOn w:val="Normal"/>
    <w:pPr>
      <w:tabs>
        <w:tab w:val="center" w:pos="4153"/>
        <w:tab w:val="right" w:pos="8306"/>
      </w:tabs>
    </w:pPr>
    <w:rPr>
      <w:rFonts w:ascii="Calibri" w:eastAsia="Calibri" w:hAnsi="Calibri" w:cs="Calibri"/>
      <w:sz w:val="22"/>
      <w:szCs w:val="22"/>
      <w:lang w:val="x-none"/>
    </w:rPr>
  </w:style>
  <w:style w:type="paragraph" w:styleId="NoSpacing">
    <w:name w:val="No Spacing"/>
    <w:qFormat/>
    <w:pPr>
      <w:suppressAutoHyphens/>
    </w:pPr>
    <w:rPr>
      <w:sz w:val="24"/>
      <w:szCs w:val="24"/>
      <w:lang w:val="en-GB" w:eastAsia="zh-CN"/>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Revision">
    <w:name w:val="Revision"/>
    <w:pPr>
      <w:suppressAutoHyphens/>
    </w:pPr>
    <w:rPr>
      <w:sz w:val="24"/>
      <w:szCs w:val="24"/>
      <w:lang w:val="en-GB"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9E4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Char,H&amp;P List Paragraph Char,Virsraksti Char,Strip Char,Syle 1 Char,Numurets Char,Normal bullet 2 Char,Bullet list Char,Akapit z listą BS Char,Numbered Para 1 Char,Dot pt Char,No Spacing1 Char,List Paragraph Char Char Char Char"/>
    <w:link w:val="ListParagraph"/>
    <w:uiPriority w:val="99"/>
    <w:qFormat/>
    <w:locked/>
    <w:rsid w:val="008A1DA4"/>
    <w:rPr>
      <w:rFonts w:ascii="Calibri" w:eastAsia="Calibri" w:hAnsi="Calibri"/>
      <w:sz w:val="22"/>
      <w:szCs w:val="22"/>
      <w:lang w:eastAsia="zh-CN"/>
    </w:rPr>
  </w:style>
  <w:style w:type="character" w:styleId="FollowedHyperlink">
    <w:name w:val="FollowedHyperlink"/>
    <w:uiPriority w:val="99"/>
    <w:semiHidden/>
    <w:unhideWhenUsed/>
    <w:rsid w:val="00C656C9"/>
    <w:rPr>
      <w:color w:val="954F72"/>
      <w:u w:val="single"/>
    </w:rPr>
  </w:style>
  <w:style w:type="character" w:customStyle="1" w:styleId="UnresolvedMention1">
    <w:name w:val="Unresolved Mention1"/>
    <w:uiPriority w:val="99"/>
    <w:semiHidden/>
    <w:unhideWhenUsed/>
    <w:rsid w:val="00B435DF"/>
    <w:rPr>
      <w:color w:val="605E5C"/>
      <w:shd w:val="clear" w:color="auto" w:fill="E1DFDD"/>
    </w:rPr>
  </w:style>
  <w:style w:type="paragraph" w:styleId="Header">
    <w:name w:val="header"/>
    <w:link w:val="HeaderChar"/>
    <w:uiPriority w:val="99"/>
    <w:rsid w:val="00666BDC"/>
    <w:pPr>
      <w:pBdr>
        <w:top w:val="nil"/>
        <w:left w:val="nil"/>
        <w:bottom w:val="nil"/>
        <w:right w:val="nil"/>
        <w:between w:val="nil"/>
        <w:bar w:val="nil"/>
      </w:pBdr>
      <w:tabs>
        <w:tab w:val="center" w:pos="4153"/>
        <w:tab w:val="right" w:pos="8306"/>
      </w:tabs>
    </w:pPr>
    <w:rPr>
      <w:rFonts w:ascii="Calibri" w:eastAsia="Arial Unicode MS" w:hAnsi="Calibri" w:cs="Arial Unicode MS"/>
      <w:color w:val="000000"/>
      <w:sz w:val="22"/>
      <w:szCs w:val="22"/>
      <w:u w:color="000000"/>
      <w:bdr w:val="nil"/>
    </w:rPr>
  </w:style>
  <w:style w:type="character" w:customStyle="1" w:styleId="HeaderChar">
    <w:name w:val="Header Char"/>
    <w:basedOn w:val="DefaultParagraphFont"/>
    <w:link w:val="Header"/>
    <w:uiPriority w:val="99"/>
    <w:rsid w:val="00666BDC"/>
    <w:rPr>
      <w:rFonts w:ascii="Calibri" w:eastAsia="Arial Unicode MS" w:hAnsi="Calibri" w:cs="Arial Unicode MS"/>
      <w:color w:val="000000"/>
      <w:sz w:val="22"/>
      <w:szCs w:val="22"/>
      <w:u w:color="000000"/>
      <w:bdr w:val="nil"/>
    </w:rPr>
  </w:style>
  <w:style w:type="character" w:customStyle="1" w:styleId="UnresolvedMention">
    <w:name w:val="Unresolved Mention"/>
    <w:basedOn w:val="DefaultParagraphFont"/>
    <w:uiPriority w:val="99"/>
    <w:semiHidden/>
    <w:unhideWhenUsed/>
    <w:rsid w:val="003F4AAD"/>
    <w:rPr>
      <w:color w:val="605E5C"/>
      <w:shd w:val="clear" w:color="auto" w:fill="E1DFDD"/>
    </w:rPr>
  </w:style>
  <w:style w:type="character" w:customStyle="1" w:styleId="Heading2Char">
    <w:name w:val="Heading 2 Char"/>
    <w:basedOn w:val="DefaultParagraphFont"/>
    <w:link w:val="Heading2"/>
    <w:uiPriority w:val="9"/>
    <w:rsid w:val="00B05056"/>
    <w:rPr>
      <w:rFonts w:asciiTheme="majorHAnsi" w:eastAsiaTheme="majorEastAsia" w:hAnsiTheme="majorHAnsi" w:cstheme="majorBidi"/>
      <w:color w:val="2E74B5" w:themeColor="accent1" w:themeShade="BF"/>
      <w:sz w:val="26"/>
      <w:szCs w:val="26"/>
      <w:lang w:val="en-GB" w:eastAsia="zh-CN"/>
    </w:rPr>
  </w:style>
  <w:style w:type="paragraph" w:styleId="FootnoteText">
    <w:name w:val="footnote text"/>
    <w:basedOn w:val="Normal"/>
    <w:link w:val="FootnoteTextChar"/>
    <w:uiPriority w:val="99"/>
    <w:semiHidden/>
    <w:unhideWhenUsed/>
    <w:rsid w:val="006F7272"/>
    <w:rPr>
      <w:sz w:val="20"/>
      <w:szCs w:val="20"/>
    </w:rPr>
  </w:style>
  <w:style w:type="character" w:customStyle="1" w:styleId="FootnoteTextChar">
    <w:name w:val="Footnote Text Char"/>
    <w:basedOn w:val="DefaultParagraphFont"/>
    <w:link w:val="FootnoteText"/>
    <w:uiPriority w:val="99"/>
    <w:semiHidden/>
    <w:rsid w:val="006F7272"/>
    <w:rPr>
      <w:lang w:val="en-GB" w:eastAsia="zh-CN"/>
    </w:rPr>
  </w:style>
  <w:style w:type="character" w:styleId="FootnoteReference">
    <w:name w:val="footnote reference"/>
    <w:basedOn w:val="DefaultParagraphFont"/>
    <w:uiPriority w:val="99"/>
    <w:semiHidden/>
    <w:unhideWhenUsed/>
    <w:rsid w:val="006F7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pedagogu-darba-samaksas-pilnveides-darba-grupas-sanaksmju-material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A669-FB54-43DC-B74D-8D908675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BASTARDS TeaM</Company>
  <LinksUpToDate>false</LinksUpToDate>
  <CharactersWithSpaces>17902</CharactersWithSpaces>
  <SharedDoc>false</SharedDoc>
  <HLinks>
    <vt:vector size="6" baseType="variant">
      <vt:variant>
        <vt:i4>3539042</vt:i4>
      </vt:variant>
      <vt:variant>
        <vt:i4>0</vt:i4>
      </vt:variant>
      <vt:variant>
        <vt:i4>0</vt:i4>
      </vt:variant>
      <vt:variant>
        <vt:i4>5</vt:i4>
      </vt:variant>
      <vt:variant>
        <vt:lpwstr>https://www.izm.gov.lv/lv/projekts/izglitibas-kvalitates-monitoringa-sistemas-izveide-un-istenosana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dina-varslavane</dc:creator>
  <cp:keywords/>
  <cp:lastModifiedBy>Jānis Aizpors</cp:lastModifiedBy>
  <cp:revision>2</cp:revision>
  <cp:lastPrinted>2012-09-19T08:47:00Z</cp:lastPrinted>
  <dcterms:created xsi:type="dcterms:W3CDTF">2021-05-17T15:29:00Z</dcterms:created>
  <dcterms:modified xsi:type="dcterms:W3CDTF">2021-05-17T15:29:00Z</dcterms:modified>
</cp:coreProperties>
</file>