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6199" w14:textId="77777777" w:rsidR="006A2A54" w:rsidRPr="006A2A54" w:rsidRDefault="00ED2C29" w:rsidP="00ED2C29">
      <w:pPr>
        <w:shd w:val="clear" w:color="auto" w:fill="FFFFFF"/>
        <w:spacing w:before="130" w:line="260" w:lineRule="exact"/>
        <w:jc w:val="center"/>
        <w:rPr>
          <w:b/>
          <w:bCs/>
        </w:rPr>
      </w:pPr>
      <w:r>
        <w:rPr>
          <w:b/>
          <w:bCs/>
        </w:rPr>
        <w:t>Ministru kabineta noteikumu projekta “Grozījumi Ministru kabineta 2020. gada 25. augusta noteikumos Nr. 538 “</w:t>
      </w:r>
      <w:r w:rsidRPr="00ED2C29">
        <w:rPr>
          <w:b/>
          <w:bCs/>
        </w:rPr>
        <w:t>Kārtība, kādā valsts finansē darba samaksu pedagogiem privātajās izglītības iestādēs</w:t>
      </w:r>
      <w:r>
        <w:rPr>
          <w:b/>
          <w:bCs/>
        </w:rPr>
        <w:t>””</w:t>
      </w:r>
      <w:r w:rsidR="006A2A54" w:rsidRPr="006A2A54">
        <w:rPr>
          <w:b/>
          <w:bCs/>
        </w:rPr>
        <w:t xml:space="preserve"> sākotnējās ietekmes novērtējuma ziņojums (anotācija)</w:t>
      </w:r>
    </w:p>
    <w:p w14:paraId="37FADB23" w14:textId="77777777" w:rsidR="006A2A54" w:rsidRPr="006A2A54" w:rsidRDefault="006A2A54" w:rsidP="006A2A54">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60"/>
        <w:gridCol w:w="5801"/>
      </w:tblGrid>
      <w:tr w:rsidR="006A2A54" w:rsidRPr="006A2A54" w14:paraId="2B34D7EB" w14:textId="77777777" w:rsidTr="00A17971">
        <w:trPr>
          <w:cantSplit/>
        </w:trPr>
        <w:tc>
          <w:tcPr>
            <w:tcW w:w="9581" w:type="dxa"/>
            <w:gridSpan w:val="2"/>
            <w:shd w:val="clear" w:color="auto" w:fill="FFFFFF"/>
            <w:vAlign w:val="center"/>
            <w:hideMark/>
          </w:tcPr>
          <w:p w14:paraId="2DB59C2B" w14:textId="77777777" w:rsidR="006A2A54" w:rsidRPr="006A2A54" w:rsidRDefault="006A2A54" w:rsidP="00A17971">
            <w:pPr>
              <w:jc w:val="center"/>
              <w:rPr>
                <w:b/>
                <w:iCs/>
                <w:lang w:eastAsia="en-US"/>
              </w:rPr>
            </w:pPr>
            <w:r w:rsidRPr="006A2A54">
              <w:rPr>
                <w:b/>
                <w:iCs/>
                <w:lang w:eastAsia="en-US"/>
              </w:rPr>
              <w:t>Tiesību akta projekta anotācijas kopsavilkums</w:t>
            </w:r>
          </w:p>
        </w:tc>
      </w:tr>
      <w:tr w:rsidR="00A60ED2" w:rsidRPr="006A2A54" w14:paraId="214C5B8B" w14:textId="77777777" w:rsidTr="00A17971">
        <w:trPr>
          <w:cantSplit/>
        </w:trPr>
        <w:tc>
          <w:tcPr>
            <w:tcW w:w="3430" w:type="dxa"/>
            <w:shd w:val="clear" w:color="auto" w:fill="FFFFFF"/>
            <w:hideMark/>
          </w:tcPr>
          <w:p w14:paraId="254C11FD" w14:textId="77777777" w:rsidR="006A2A54" w:rsidRPr="006A2A54" w:rsidRDefault="006A2A54" w:rsidP="00A17971">
            <w:pPr>
              <w:rPr>
                <w:iCs/>
                <w:lang w:eastAsia="en-US"/>
              </w:rPr>
            </w:pPr>
            <w:r w:rsidRPr="006A2A54">
              <w:rPr>
                <w:iCs/>
                <w:lang w:eastAsia="en-US"/>
              </w:rPr>
              <w:t>Mērķis, risinājums un projekta spēkā stāšanās laiks (500 zīmes bez atstarpēm)</w:t>
            </w:r>
          </w:p>
        </w:tc>
        <w:tc>
          <w:tcPr>
            <w:tcW w:w="6151" w:type="dxa"/>
            <w:shd w:val="clear" w:color="auto" w:fill="FFFFFF"/>
            <w:hideMark/>
          </w:tcPr>
          <w:p w14:paraId="725AD28D" w14:textId="7C61BABF" w:rsidR="001735F7" w:rsidRPr="006A2A54" w:rsidRDefault="001735F7" w:rsidP="00A60ED2">
            <w:pPr>
              <w:jc w:val="both"/>
              <w:rPr>
                <w:i/>
                <w:iCs/>
                <w:lang w:eastAsia="en-US"/>
              </w:rPr>
            </w:pPr>
            <w:r>
              <w:t xml:space="preserve">Ministru kabineta noteikumu projekts </w:t>
            </w:r>
            <w:r w:rsidRPr="005223EE">
              <w:t>“Grozījumi Ministru kabineta 2020.</w:t>
            </w:r>
            <w:r>
              <w:t> </w:t>
            </w:r>
            <w:r w:rsidRPr="005223EE">
              <w:t>gada 25.</w:t>
            </w:r>
            <w:r>
              <w:t> </w:t>
            </w:r>
            <w:r w:rsidRPr="005223EE">
              <w:t>augusta noteikumos Nr.</w:t>
            </w:r>
            <w:r>
              <w:t> </w:t>
            </w:r>
            <w:r w:rsidRPr="005223EE">
              <w:t>538 “Kārtība, kādā valsts finansē darba samaksu pedagogiem privātajās izglītības iestādēs””</w:t>
            </w:r>
            <w:r>
              <w:t xml:space="preserve"> (turpmāk – noteikumu projekts) izstrādāts, lai </w:t>
            </w:r>
            <w:r w:rsidR="00A60ED2">
              <w:t xml:space="preserve">noteiktu regulējumu par valsts </w:t>
            </w:r>
            <w:r w:rsidR="001B6FCC">
              <w:t>budžeta</w:t>
            </w:r>
            <w:r w:rsidR="00A60ED2">
              <w:t xml:space="preserve"> dotācijas </w:t>
            </w:r>
            <w:r w:rsidR="001B6FCC">
              <w:t xml:space="preserve">(turpmāk – dotācija) </w:t>
            </w:r>
            <w:r w:rsidR="00A60ED2">
              <w:t xml:space="preserve">sadalījumu izglītības iestādēm uz savstarpējo līgumu pamata, kā arī precizētu regulējumu par tālmācības izglītības ieguves formā īstenoto izglītības programmu finansēšanu. </w:t>
            </w:r>
            <w:r>
              <w:t>Noteikumu projekts stāsies spēkā 2021. gada 1. septembr</w:t>
            </w:r>
            <w:r w:rsidR="00A60ED2">
              <w:t>ī</w:t>
            </w:r>
            <w:r>
              <w:t>.</w:t>
            </w:r>
          </w:p>
        </w:tc>
      </w:tr>
    </w:tbl>
    <w:p w14:paraId="0960A1C4" w14:textId="77777777" w:rsidR="006A2A54" w:rsidRPr="006A2A54" w:rsidRDefault="006A2A54" w:rsidP="006A2A54">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6A2A54" w:rsidRPr="006A2A54" w14:paraId="0A837BA3" w14:textId="77777777" w:rsidTr="007E5015">
        <w:tc>
          <w:tcPr>
            <w:tcW w:w="5000" w:type="pct"/>
            <w:gridSpan w:val="3"/>
            <w:vAlign w:val="center"/>
            <w:hideMark/>
          </w:tcPr>
          <w:p w14:paraId="5B2A8D81" w14:textId="77777777" w:rsidR="006A2A54" w:rsidRPr="006A2A54" w:rsidRDefault="006A2A54" w:rsidP="00A17971">
            <w:pPr>
              <w:jc w:val="center"/>
              <w:rPr>
                <w:b/>
                <w:bCs/>
              </w:rPr>
            </w:pPr>
            <w:r w:rsidRPr="006A2A54">
              <w:rPr>
                <w:b/>
                <w:bCs/>
              </w:rPr>
              <w:t>I. Tiesību akta projekta izstrādes nepieciešamība</w:t>
            </w:r>
          </w:p>
        </w:tc>
      </w:tr>
      <w:tr w:rsidR="006A2A54" w:rsidRPr="006A2A54" w14:paraId="27F80CAD" w14:textId="77777777" w:rsidTr="007E5015">
        <w:tc>
          <w:tcPr>
            <w:tcW w:w="311" w:type="pct"/>
            <w:hideMark/>
          </w:tcPr>
          <w:p w14:paraId="712AD3A9" w14:textId="77777777" w:rsidR="006A2A54" w:rsidRPr="006A2A54" w:rsidRDefault="006A2A54" w:rsidP="00A17971">
            <w:pPr>
              <w:jc w:val="center"/>
            </w:pPr>
            <w:r w:rsidRPr="006A2A54">
              <w:t>1.</w:t>
            </w:r>
          </w:p>
        </w:tc>
        <w:tc>
          <w:tcPr>
            <w:tcW w:w="1479" w:type="pct"/>
            <w:hideMark/>
          </w:tcPr>
          <w:p w14:paraId="1306E41F" w14:textId="77777777" w:rsidR="006A2A54" w:rsidRPr="006A2A54" w:rsidRDefault="006A2A54" w:rsidP="00A17971">
            <w:r w:rsidRPr="006A2A54">
              <w:t>Pamatojums</w:t>
            </w:r>
          </w:p>
        </w:tc>
        <w:tc>
          <w:tcPr>
            <w:tcW w:w="3210" w:type="pct"/>
            <w:hideMark/>
          </w:tcPr>
          <w:p w14:paraId="0A6A3821" w14:textId="4887B6AB" w:rsidR="006A2A54" w:rsidRPr="006A2A54" w:rsidRDefault="00A60ED2" w:rsidP="00E26E6F">
            <w:pPr>
              <w:keepNext/>
              <w:jc w:val="both"/>
            </w:pPr>
            <w:r>
              <w:t>Noteikumu projekts izstrādāts pēc Izglītības un zinātnes ministrijas (turpmāk – ministrija) iniciatīvas.</w:t>
            </w:r>
          </w:p>
        </w:tc>
      </w:tr>
      <w:tr w:rsidR="006A2A54" w:rsidRPr="006A2A54" w14:paraId="1A3D04CD" w14:textId="77777777" w:rsidTr="007E5015">
        <w:tc>
          <w:tcPr>
            <w:tcW w:w="311" w:type="pct"/>
            <w:hideMark/>
          </w:tcPr>
          <w:p w14:paraId="720B15A5" w14:textId="77777777" w:rsidR="006A2A54" w:rsidRPr="006A2A54" w:rsidRDefault="006A2A54" w:rsidP="00A17971">
            <w:pPr>
              <w:jc w:val="center"/>
            </w:pPr>
            <w:r w:rsidRPr="006A2A54">
              <w:t>2.</w:t>
            </w:r>
          </w:p>
        </w:tc>
        <w:tc>
          <w:tcPr>
            <w:tcW w:w="1479" w:type="pct"/>
            <w:hideMark/>
          </w:tcPr>
          <w:p w14:paraId="2E4A621D" w14:textId="77777777" w:rsidR="006A2A54" w:rsidRPr="006A2A54" w:rsidRDefault="006A2A54" w:rsidP="00A17971">
            <w:r w:rsidRPr="006A2A54">
              <w:t>Pašreizējā situācija un problēmas, kuru risināšanai tiesību akta projekts izstrādāts, tiesiskā regulējuma mērķis un būtība</w:t>
            </w:r>
          </w:p>
        </w:tc>
        <w:tc>
          <w:tcPr>
            <w:tcW w:w="3210" w:type="pct"/>
            <w:hideMark/>
          </w:tcPr>
          <w:p w14:paraId="1CDC80BB" w14:textId="33CC9706" w:rsidR="00A60ED2" w:rsidRDefault="00A60ED2" w:rsidP="00294AC8">
            <w:pPr>
              <w:keepNext/>
              <w:tabs>
                <w:tab w:val="left" w:pos="4800"/>
              </w:tabs>
              <w:ind w:firstLine="567"/>
              <w:jc w:val="both"/>
            </w:pPr>
            <w:r>
              <w:t>Vienlaikus ar šo noteikumu projektu ministrijā ir izstrādāts Ministru kabineta 2016. gada 5. jūlija noteikumu Nr. 447 “</w:t>
            </w:r>
            <w:r w:rsidRPr="00A60ED2">
              <w:t>Par valsts budžeta mērķdotāciju pedagogu darba samaksai pašvaldību vispārējās izglītības iestādēs un valsts augstskolu vispārējās vidējās izglītības iestādē</w:t>
            </w:r>
            <w:r>
              <w:t>s” (turpmāk – noteikumi Nr. 447) grozījumu projekts</w:t>
            </w:r>
            <w:r w:rsidR="002227FD">
              <w:t xml:space="preserve">, kas </w:t>
            </w:r>
            <w:r w:rsidR="00294AC8">
              <w:t xml:space="preserve">2021. gada </w:t>
            </w:r>
            <w:r w:rsidR="00257987" w:rsidRPr="00257987">
              <w:t>27</w:t>
            </w:r>
            <w:r w:rsidR="00257987">
              <w:t xml:space="preserve">. maijā izsludināts Valsts sekretāru sanāksmē (VSS-487) (pieejams: </w:t>
            </w:r>
            <w:r w:rsidR="00257987" w:rsidRPr="00257987">
              <w:t>http://tap.mk.gov.lv/lv/mk/tap/?pid=40502694</w:t>
            </w:r>
            <w:r w:rsidR="00257987">
              <w:t>)</w:t>
            </w:r>
            <w:r>
              <w:t>.</w:t>
            </w:r>
            <w:r w:rsidR="00294AC8">
              <w:t xml:space="preserve"> </w:t>
            </w:r>
            <w:r>
              <w:t>Noteikumu Nr. 447 grozījumu projekts paredz salāgot to normu, kas nosaka izglītojamo skaitam tālmācības vispārējās izglītības programmās piemērojamo koeficientu valsts budžeta mērķdotācijas aprēķināšanai, ar attiecīgo normu Ministru kabineta 2020. gada 25. augusta noteikumu Nr. 538 “</w:t>
            </w:r>
            <w:r w:rsidRPr="00A60ED2">
              <w:t>Kārtība, kādā valsts finansē darba samaksu pedagogiem privātajās izglītības iestādēs</w:t>
            </w:r>
            <w:r>
              <w:t>” (turpmāk – noteikumi Nr. 538) 8. punktā. Līdz šim gan noteikumos Nr. 447 (7.4. apakšpunktā), gan noteikumos Nr. 538 (8. punktā) bija noteikts, ka izglītojamo skaitam tālmācības vispārējās izglītības programmās piemēro koeficientu 0,6, vienlaikus noteikumu Nr. 538 8. punktā papildus nosakot, ka i</w:t>
            </w:r>
            <w:r w:rsidRPr="00A60ED2">
              <w:t>zglītojamo skaitam, kas vienā un tajā pašā klasē tālmācības izglītības ieguves formā īstenotajās vispārējās vidējās izglītības programmās mācās ilgāk par vienu mācību gadu, piemēro koeficientu 0,3</w:t>
            </w:r>
            <w:r>
              <w:t xml:space="preserve">. Lai nodrošinātu vienlīdzīgu regulējumu gan attiecībā uz privātajām vispārējās izglītības iestādēm, gan pašvaldību </w:t>
            </w:r>
            <w:r w:rsidRPr="00A60ED2">
              <w:t>vispārējās izglītības iestādē</w:t>
            </w:r>
            <w:r>
              <w:t>m</w:t>
            </w:r>
            <w:r w:rsidRPr="00A60ED2">
              <w:t xml:space="preserve"> un valsts augstskolu vispārējās vidējās izglītības iestādē</w:t>
            </w:r>
            <w:r>
              <w:t xml:space="preserve">m, </w:t>
            </w:r>
            <w:r w:rsidR="00A716F5">
              <w:t xml:space="preserve">noteikumu Nr. 447 grozījumu projekts paredz noteikt, ka arī pašvaldību un valsts augstskolu vispārējās izglītības iestādēs </w:t>
            </w:r>
            <w:r w:rsidR="00A716F5">
              <w:lastRenderedPageBreak/>
              <w:t>izglītojamo</w:t>
            </w:r>
            <w:r w:rsidR="00A716F5" w:rsidRPr="00A716F5">
              <w:t xml:space="preserve"> skaitam, kas vienā un tajā pašā klasē tālmācības vispārējās vidējās izglītības programmās mācās ilgāk par vienu mācību gadu, piemēro koeficientu 0,3</w:t>
            </w:r>
            <w:r w:rsidR="00A716F5">
              <w:t>.</w:t>
            </w:r>
          </w:p>
          <w:p w14:paraId="0EEE83E2" w14:textId="5A846FEE" w:rsidR="001B6FCC" w:rsidRDefault="001B6FCC" w:rsidP="001F3B5E">
            <w:pPr>
              <w:keepNext/>
              <w:ind w:firstLine="567"/>
              <w:jc w:val="both"/>
            </w:pPr>
            <w:r>
              <w:t xml:space="preserve">Jāņem vērā, ka no noteikumu Nr. 538 2. punkta izriet, ka </w:t>
            </w:r>
            <w:r w:rsidRPr="001B6FCC">
              <w:t xml:space="preserve">ministrija aprēķina normēto skolēnu (bērnu) skaita attiecību pret vienu pedagoga mēneša darba algas likmi un nosaka dotācijas apmēru pedagogu darba samaksai un valsts sociālās apdrošināšanas obligātajām iemaksām izglītības iestādēm, kas īsteno noteikumu </w:t>
            </w:r>
            <w:r>
              <w:t xml:space="preserve">Nr. 538 </w:t>
            </w:r>
            <w:r w:rsidRPr="001B6FCC">
              <w:t>1.1.</w:t>
            </w:r>
            <w:r>
              <w:t> </w:t>
            </w:r>
            <w:r w:rsidRPr="001B6FCC">
              <w:t>apakšpunktā minētās izglītības programmas, izņemot akreditētas profesionālās pamatizglītības programmas, atbilstoši</w:t>
            </w:r>
            <w:r>
              <w:t xml:space="preserve"> noteikumiem Nr. 447. Vienlaikus noteikumu Nr. 538 2. punkta otrais teikums noteic, ka, aprēķinot </w:t>
            </w:r>
            <w:r w:rsidRPr="001B6FCC">
              <w:t>normētā skolēnu skaita attiecību pret vienu pedagoga mēneša darba algas likmi tālmācības izglītības ieguves formā īstenotās vispārējās izglītības programmās, piemēro proporciju 16,5 : 1.</w:t>
            </w:r>
            <w:r>
              <w:t xml:space="preserve"> Līdz ar to, privāto izglītības iestāžu pedagogu darba samaksai nepieciešamās dotācijas apmēru ministrija nosaka, ievērojot noteikumos Nr. 447 noteikto, ciktāl noteikumos Nr. 538 nav atrunāts specifisks regulējums. Tādējādi, arī aprēķinot dotāciju par izglītojamo skaitu tālmācības izglītības ieguves formā īstenotajās vispārējās izglītības programmās, no 2021. gada 1. septembra būs jāievēro noteikumos Nr. 447 noteiktais par attiecīgo koeficientu piemērošanu.</w:t>
            </w:r>
          </w:p>
          <w:p w14:paraId="25C6EA1C" w14:textId="77777777" w:rsidR="00CF26C9" w:rsidRDefault="00CF26C9" w:rsidP="001F3B5E">
            <w:pPr>
              <w:keepNext/>
              <w:ind w:firstLine="567"/>
              <w:jc w:val="both"/>
            </w:pPr>
          </w:p>
          <w:p w14:paraId="01844A88" w14:textId="49AF6C53" w:rsidR="00851A2D" w:rsidRDefault="00CF26C9" w:rsidP="00851A2D">
            <w:pPr>
              <w:keepNext/>
              <w:ind w:firstLine="567"/>
              <w:jc w:val="both"/>
            </w:pPr>
            <w:r>
              <w:t>2020.</w:t>
            </w:r>
            <w:r w:rsidR="00851A2D">
              <w:t> </w:t>
            </w:r>
            <w:r>
              <w:t>gada 12.</w:t>
            </w:r>
            <w:r w:rsidR="00851A2D">
              <w:t> </w:t>
            </w:r>
            <w:r>
              <w:t xml:space="preserve">novembrī </w:t>
            </w:r>
            <w:r w:rsidR="00851A2D">
              <w:t>tika pieņemti</w:t>
            </w:r>
            <w:r>
              <w:t xml:space="preserve"> grozījum</w:t>
            </w:r>
            <w:r w:rsidR="00851A2D">
              <w:t>i</w:t>
            </w:r>
            <w:r>
              <w:t xml:space="preserve"> Izglītības likumā (stājās spēkā 2020.</w:t>
            </w:r>
            <w:r w:rsidR="00851A2D">
              <w:t> </w:t>
            </w:r>
            <w:r>
              <w:t>gada 20.</w:t>
            </w:r>
            <w:r w:rsidR="00851A2D">
              <w:t> </w:t>
            </w:r>
            <w:r>
              <w:t>novembrī; skat. Izglītības likuma 36.</w:t>
            </w:r>
            <w:r w:rsidR="00851A2D">
              <w:t> </w:t>
            </w:r>
            <w:r>
              <w:t xml:space="preserve">panta otro daļu), kuri tika izstrādāti, tostarp ņemot vērā Covid-19 izraisītos epidemioloģiskās drošības ierobežojumus un nepieciešamību izglītības iestādēm nodrošināt kvalitatīvu mācību procesa norisi attālinātajās mācībās, un to, ka arī </w:t>
            </w:r>
            <w:r w:rsidR="00851A2D">
              <w:t xml:space="preserve">Ministru kabineta 2019. gada 3. septembra </w:t>
            </w:r>
            <w:r>
              <w:t>noteikumu Nr.</w:t>
            </w:r>
            <w:r w:rsidR="00851A2D">
              <w:t> </w:t>
            </w:r>
            <w:r>
              <w:t xml:space="preserve">416 </w:t>
            </w:r>
            <w:r w:rsidR="00851A2D">
              <w:t>“</w:t>
            </w:r>
            <w:r w:rsidR="00851A2D" w:rsidRPr="00851A2D">
              <w:t>Noteikumi par valsts vispārējās vidējās izglītības standartu un vispārējās vidējās izglītības programmu paraugiem</w:t>
            </w:r>
            <w:r w:rsidR="00851A2D">
              <w:t xml:space="preserve">” </w:t>
            </w:r>
            <w:r>
              <w:t>12.10.</w:t>
            </w:r>
            <w:r w:rsidR="00851A2D">
              <w:t> </w:t>
            </w:r>
            <w:r>
              <w:t xml:space="preserve">apakšpunkts paredz izglītības iestādes tiesības vispārējās vidējās izglītības programmas īstenošanas ietvaros iesaistīt partnerus, piemēram, augstākās izglītības iestādes, lai nodrošinātu atsevišķu skolēnam plānoto rezultātu sasniegšanu vai kursu apgūšanu. </w:t>
            </w:r>
            <w:r w:rsidR="00851A2D">
              <w:t xml:space="preserve">Tieši vispārējās vidējās izglītības programmās līdz ar pilnveidotā mācību satura ieviešanas uzsākšanu ir notikusi būtiska mācību pieejas maiņa, paredzēta intensīvāka tehnoloģisko rīku un risinājumu izmantošana, kā arī pedagogu un izglītības iestāžu sadarbība. Sadarbības partneru iesaiste ir viens no iespējamiem risinājumiem izglītības iestādei, tostarp attālinātās mācībās, piedāvāt un īstenot mācību priekšmetus (kursus) vispārējās vidējās izglītības programmas ietvaros. Vienlaikus Izglītības likuma 36. panta otrā daļa paredz pienākumu, slēdzot savstarpēju sadarbības līgumu par </w:t>
            </w:r>
            <w:r w:rsidR="00851A2D">
              <w:lastRenderedPageBreak/>
              <w:t>mācību priekšmetu vai to daļu īstenošanu vispārējās vidējās izglītības programmas ietvaros, tajā vienoties:</w:t>
            </w:r>
          </w:p>
          <w:p w14:paraId="4B2BF921" w14:textId="77777777" w:rsidR="00851A2D" w:rsidRDefault="00851A2D" w:rsidP="00851A2D">
            <w:pPr>
              <w:keepNext/>
              <w:ind w:firstLine="567"/>
              <w:jc w:val="both"/>
            </w:pPr>
            <w:r>
              <w:t>– par mācību priekšmetu īstenošanas veidu un programmu;</w:t>
            </w:r>
          </w:p>
          <w:p w14:paraId="710149E4" w14:textId="77777777" w:rsidR="00851A2D" w:rsidRDefault="00851A2D" w:rsidP="00851A2D">
            <w:pPr>
              <w:keepNext/>
              <w:ind w:firstLine="567"/>
              <w:jc w:val="both"/>
            </w:pPr>
            <w:r>
              <w:t>– par izglītojamo mācību sasniegumu vērtēšanas kārtību;</w:t>
            </w:r>
          </w:p>
          <w:p w14:paraId="597CB280" w14:textId="77777777" w:rsidR="00851A2D" w:rsidRDefault="00851A2D" w:rsidP="00851A2D">
            <w:pPr>
              <w:keepNext/>
              <w:ind w:firstLine="567"/>
              <w:jc w:val="both"/>
            </w:pPr>
            <w:r>
              <w:t>– par izglītojamo iegūto vērtējumu paziņošanas kārtību;</w:t>
            </w:r>
          </w:p>
          <w:p w14:paraId="1FD8D050" w14:textId="77777777" w:rsidR="00851A2D" w:rsidRDefault="00851A2D" w:rsidP="00851A2D">
            <w:pPr>
              <w:keepNext/>
              <w:ind w:firstLine="567"/>
              <w:jc w:val="both"/>
            </w:pPr>
            <w:r>
              <w:t>– par mācību priekšmetu apguvē iesaistāmajiem izglītojamajiem;</w:t>
            </w:r>
          </w:p>
          <w:p w14:paraId="5BBC518C" w14:textId="77777777" w:rsidR="00851A2D" w:rsidRDefault="00851A2D" w:rsidP="00851A2D">
            <w:pPr>
              <w:keepNext/>
              <w:ind w:firstLine="567"/>
              <w:jc w:val="both"/>
            </w:pPr>
            <w:r>
              <w:t>– par mācību priekšmetu īstenošanas izdevumiem un to apmaksas kārtību;</w:t>
            </w:r>
          </w:p>
          <w:p w14:paraId="24854066" w14:textId="77777777" w:rsidR="00851A2D" w:rsidRDefault="00851A2D" w:rsidP="00851A2D">
            <w:pPr>
              <w:keepNext/>
              <w:ind w:firstLine="567"/>
              <w:jc w:val="both"/>
            </w:pPr>
            <w:r>
              <w:t>– par citiem izglītības iestāžu skatījumā būtiskiem nosacījumiem.</w:t>
            </w:r>
          </w:p>
          <w:p w14:paraId="7973F200" w14:textId="03805ECE" w:rsidR="00A60ED2" w:rsidRDefault="00851A2D" w:rsidP="00851A2D">
            <w:pPr>
              <w:keepNext/>
              <w:ind w:firstLine="567"/>
              <w:jc w:val="both"/>
            </w:pPr>
            <w:r>
              <w:t>Ņemot vērā minēto, noteikumu projekts paredz papildināt noteikumus Nr. 538 ar 14.</w:t>
            </w:r>
            <w:r w:rsidRPr="00851A2D">
              <w:rPr>
                <w:vertAlign w:val="superscript"/>
              </w:rPr>
              <w:t>1</w:t>
            </w:r>
            <w:r>
              <w:t> punktu, kas paredz p</w:t>
            </w:r>
            <w:r w:rsidRPr="00851A2D">
              <w:t>rivāto izglītības iestāžu dibinātājiem, sadalot dotāciju izglītības iestādēm pedagogu darba samaksai</w:t>
            </w:r>
            <w:r>
              <w:t>,</w:t>
            </w:r>
            <w:r w:rsidRPr="00851A2D">
              <w:t xml:space="preserve"> tiesības pārdalīt starp attiecīgo dibinātāju izglītības iestādēm, kā arī pārskaitīt citu izglītības iestāžu dibinātājiem vai valsts dibinātām izglītības iestādēm finansējumu, pamatojoties uz izglītības iestāžu savstarpēji noslēgto Izglītības likuma 36.</w:t>
            </w:r>
            <w:r>
              <w:t> </w:t>
            </w:r>
            <w:r w:rsidRPr="00851A2D">
              <w:t>panta otrajā daļā minēto līgumu par mācību priekšmetu vai to daļu īstenošanu vispārējās vidējās izglītības programmas ietvaros</w:t>
            </w:r>
            <w:r>
              <w:t xml:space="preserve">.  </w:t>
            </w:r>
            <w:r w:rsidR="00CF26C9">
              <w:t>Šādi līgumi var tikt slēgti gan ar attiecīg</w:t>
            </w:r>
            <w:r>
              <w:t>ā dibinātāja</w:t>
            </w:r>
            <w:r w:rsidR="00CF26C9">
              <w:t>, gan citu dibinātāju izglītības iestādēm, tostarp augstākās izglītības iestādēm.</w:t>
            </w:r>
            <w:r w:rsidR="00334129">
              <w:t xml:space="preserve"> Vienlaikus noteikumu projekts</w:t>
            </w:r>
            <w:r w:rsidR="00841B55">
              <w:t xml:space="preserve"> paredz</w:t>
            </w:r>
            <w:r w:rsidR="00334129">
              <w:t xml:space="preserve">, ka attiecīgais finansējums pārskaitāms uz izglītības iestāžu dibinātāju vai valsts izglītības iestāžu kontiem Valsts kasē, ja tādi ir atvērti, lai nodrošinātu valsts piešķirtā finansējuma izlietojuma caurspīdīgumu. </w:t>
            </w:r>
          </w:p>
          <w:p w14:paraId="2A939B82" w14:textId="34B02B5D" w:rsidR="00CF26C9" w:rsidRDefault="00851A2D" w:rsidP="00334129">
            <w:pPr>
              <w:keepNext/>
              <w:ind w:firstLine="567"/>
              <w:jc w:val="both"/>
            </w:pPr>
            <w:r>
              <w:t>Ar noteikumu projektu atbilstoši minētajam precizēts arī noteikumu Nr. 538 pielikums</w:t>
            </w:r>
            <w:r w:rsidR="00512CFD">
              <w:t xml:space="preserve">, to </w:t>
            </w:r>
            <w:r w:rsidR="00512CFD" w:rsidRPr="00512CFD">
              <w:t xml:space="preserve">pilnveidojot atbilstoši tam, ka </w:t>
            </w:r>
            <w:r w:rsidR="00512CFD">
              <w:t xml:space="preserve">noteikumu </w:t>
            </w:r>
            <w:r w:rsidR="00512CFD" w:rsidRPr="00512CFD">
              <w:t>projekts paredz regulējumu par dotācijas pārdali un pārskaitīšanu, pamatojoties uz izglītības iestāžu savstarpēji noslēgto Izglītības likuma 36.</w:t>
            </w:r>
            <w:r w:rsidR="00512CFD">
              <w:t> </w:t>
            </w:r>
            <w:r w:rsidR="00512CFD" w:rsidRPr="00512CFD">
              <w:t>panta otrajā daļā minēto līgumu par mācību priekšmetu vai to daļu īstenošanu vispārējās vidējās izglītības programmas ietvaros.</w:t>
            </w:r>
            <w:r w:rsidR="00334129">
              <w:t xml:space="preserve"> Tāpat jāņem vērā, ka ar pilnveidoto pārskata veidlapu tiek noteikts, ka tajā ir norādāms atbilstošs pamatojums finansējuma izlietojumam un līguma numurs. Arī attiecībā uz to finansējumu, kas piešķirts citas izglītības iestādes dibinātājam vai valsts izglītības iestādei, gadījumā, ja ministrija vai attiecīgās nozares ministrija no pārskatiem nevar secināt finansējuma izlietojuma atbilstību tā mērķim, tām ir tiesības pieprasīt un saņemt papildu informāciju par dotācijas izlietojumu.</w:t>
            </w:r>
          </w:p>
          <w:p w14:paraId="4C364F13" w14:textId="77777777" w:rsidR="00CF26C9" w:rsidRDefault="00CF26C9" w:rsidP="00CF26C9">
            <w:pPr>
              <w:keepNext/>
              <w:ind w:firstLine="567"/>
              <w:jc w:val="both"/>
            </w:pPr>
          </w:p>
          <w:p w14:paraId="52657B6E" w14:textId="629FC47A" w:rsidR="008E4AC6" w:rsidRPr="006A2A54" w:rsidRDefault="00512CFD" w:rsidP="00851A2D">
            <w:pPr>
              <w:keepNext/>
              <w:ind w:firstLine="567"/>
              <w:jc w:val="both"/>
            </w:pPr>
            <w:r>
              <w:t>Noteikumu p</w:t>
            </w:r>
            <w:r w:rsidRPr="00512CFD">
              <w:t>rojekts stāsies spēkā 2021.</w:t>
            </w:r>
            <w:r>
              <w:t> </w:t>
            </w:r>
            <w:r w:rsidRPr="00512CFD">
              <w:t>gada 1.</w:t>
            </w:r>
            <w:r>
              <w:t> </w:t>
            </w:r>
            <w:r w:rsidRPr="00512CFD">
              <w:t xml:space="preserve">septembrī, kad uzsākas jaunais mācību gads, lai attiecīgi </w:t>
            </w:r>
            <w:r w:rsidRPr="00512CFD">
              <w:lastRenderedPageBreak/>
              <w:t xml:space="preserve">būtu iespējams veikt finansējuma aprēķināšanu un sadali atbilstoši jaunajam regulējumam.  </w:t>
            </w:r>
          </w:p>
        </w:tc>
      </w:tr>
      <w:tr w:rsidR="006A2A54" w:rsidRPr="006A2A54" w14:paraId="5133B50F" w14:textId="77777777" w:rsidTr="007E5015">
        <w:tc>
          <w:tcPr>
            <w:tcW w:w="311" w:type="pct"/>
            <w:hideMark/>
          </w:tcPr>
          <w:p w14:paraId="31EDFE25" w14:textId="53E75742" w:rsidR="006A2A54" w:rsidRPr="006A2A54" w:rsidRDefault="006A2A54" w:rsidP="00A17971">
            <w:pPr>
              <w:jc w:val="center"/>
            </w:pPr>
            <w:r w:rsidRPr="006A2A54">
              <w:lastRenderedPageBreak/>
              <w:t>3.</w:t>
            </w:r>
          </w:p>
        </w:tc>
        <w:tc>
          <w:tcPr>
            <w:tcW w:w="1479" w:type="pct"/>
            <w:hideMark/>
          </w:tcPr>
          <w:p w14:paraId="123BAAD5" w14:textId="77777777" w:rsidR="006A2A54" w:rsidRPr="006A2A54" w:rsidRDefault="006A2A54" w:rsidP="00A17971">
            <w:r w:rsidRPr="006A2A54">
              <w:t>Projekta izstrādē iesaistītās institūcijas un publiskas personas kapitālsabiedrības</w:t>
            </w:r>
          </w:p>
        </w:tc>
        <w:tc>
          <w:tcPr>
            <w:tcW w:w="3210" w:type="pct"/>
            <w:hideMark/>
          </w:tcPr>
          <w:p w14:paraId="16157B9B" w14:textId="49F9E864" w:rsidR="006A2A54" w:rsidRPr="006A2A54" w:rsidRDefault="008E4AC6" w:rsidP="00FB15B3">
            <w:pPr>
              <w:jc w:val="both"/>
            </w:pPr>
            <w:r>
              <w:t>Ministrija.</w:t>
            </w:r>
          </w:p>
        </w:tc>
      </w:tr>
      <w:tr w:rsidR="006A2A54" w:rsidRPr="006A2A54" w14:paraId="68BCC159" w14:textId="77777777" w:rsidTr="007E5015">
        <w:tc>
          <w:tcPr>
            <w:tcW w:w="311" w:type="pct"/>
            <w:hideMark/>
          </w:tcPr>
          <w:p w14:paraId="47B5F2CA" w14:textId="77777777" w:rsidR="006A2A54" w:rsidRPr="006A2A54" w:rsidRDefault="006A2A54" w:rsidP="00A17971">
            <w:pPr>
              <w:jc w:val="center"/>
            </w:pPr>
            <w:r w:rsidRPr="006A2A54">
              <w:t>4.</w:t>
            </w:r>
          </w:p>
        </w:tc>
        <w:tc>
          <w:tcPr>
            <w:tcW w:w="1479" w:type="pct"/>
            <w:hideMark/>
          </w:tcPr>
          <w:p w14:paraId="2A301044" w14:textId="77777777" w:rsidR="006A2A54" w:rsidRPr="006A2A54" w:rsidRDefault="006A2A54" w:rsidP="00A17971">
            <w:r w:rsidRPr="006A2A54">
              <w:t>Cita informācija</w:t>
            </w:r>
          </w:p>
        </w:tc>
        <w:tc>
          <w:tcPr>
            <w:tcW w:w="3210" w:type="pct"/>
            <w:hideMark/>
          </w:tcPr>
          <w:p w14:paraId="10ECD53A" w14:textId="67F8D3D1" w:rsidR="006A2A54" w:rsidRPr="006A2A54" w:rsidRDefault="00822E02" w:rsidP="00FB15B3">
            <w:pPr>
              <w:jc w:val="both"/>
            </w:pPr>
            <w:r>
              <w:t>Nav.</w:t>
            </w:r>
          </w:p>
        </w:tc>
      </w:tr>
    </w:tbl>
    <w:p w14:paraId="2C5264C6" w14:textId="77777777" w:rsidR="006A2A54" w:rsidRPr="006A2A54" w:rsidRDefault="006A2A54" w:rsidP="006A2A54">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6A2A54" w:rsidRPr="006A2A54" w14:paraId="05E4EBFC" w14:textId="77777777" w:rsidTr="001F3B5E">
        <w:tc>
          <w:tcPr>
            <w:tcW w:w="5000" w:type="pct"/>
            <w:gridSpan w:val="3"/>
            <w:vAlign w:val="center"/>
            <w:hideMark/>
          </w:tcPr>
          <w:p w14:paraId="6FF0D9EA" w14:textId="77777777" w:rsidR="006A2A54" w:rsidRPr="006A2A54" w:rsidRDefault="006A2A54" w:rsidP="001F3B5E">
            <w:pPr>
              <w:keepNext/>
              <w:jc w:val="center"/>
              <w:rPr>
                <w:b/>
                <w:bCs/>
              </w:rPr>
            </w:pPr>
            <w:r w:rsidRPr="006A2A54">
              <w:rPr>
                <w:b/>
                <w:bCs/>
              </w:rPr>
              <w:t>II. Tiesību akta projekta ietekme uz sabiedrību, tautsaimniecības attīstību un administratīvo slogu</w:t>
            </w:r>
          </w:p>
        </w:tc>
      </w:tr>
      <w:tr w:rsidR="006A2A54" w:rsidRPr="006A2A54" w14:paraId="78F4C245" w14:textId="77777777" w:rsidTr="001F3B5E">
        <w:tc>
          <w:tcPr>
            <w:tcW w:w="311" w:type="pct"/>
            <w:hideMark/>
          </w:tcPr>
          <w:p w14:paraId="3A3DCD55" w14:textId="77777777" w:rsidR="006A2A54" w:rsidRPr="006A2A54" w:rsidRDefault="006A2A54" w:rsidP="001F3B5E">
            <w:pPr>
              <w:keepNext/>
              <w:jc w:val="center"/>
            </w:pPr>
            <w:r w:rsidRPr="006A2A54">
              <w:t>1.</w:t>
            </w:r>
          </w:p>
        </w:tc>
        <w:tc>
          <w:tcPr>
            <w:tcW w:w="1479" w:type="pct"/>
            <w:hideMark/>
          </w:tcPr>
          <w:p w14:paraId="6FFB04DA" w14:textId="77777777" w:rsidR="006A2A54" w:rsidRPr="006A2A54" w:rsidRDefault="006A2A54" w:rsidP="001F3B5E">
            <w:pPr>
              <w:keepNext/>
            </w:pPr>
            <w:r w:rsidRPr="006A2A54">
              <w:t xml:space="preserve">Sabiedrības </w:t>
            </w:r>
            <w:proofErr w:type="spellStart"/>
            <w:r w:rsidRPr="006A2A54">
              <w:t>mērķgrupas</w:t>
            </w:r>
            <w:proofErr w:type="spellEnd"/>
            <w:r w:rsidRPr="006A2A54">
              <w:t>, kuras tiesiskais regulējums ietekmē vai varētu ietekmēt</w:t>
            </w:r>
          </w:p>
        </w:tc>
        <w:tc>
          <w:tcPr>
            <w:tcW w:w="3210" w:type="pct"/>
            <w:hideMark/>
          </w:tcPr>
          <w:p w14:paraId="0BF60A45" w14:textId="02F463D3" w:rsidR="00D114C1" w:rsidRPr="006A2A54" w:rsidRDefault="00512CFD" w:rsidP="001F3B5E">
            <w:pPr>
              <w:keepNext/>
              <w:jc w:val="both"/>
            </w:pPr>
            <w:r w:rsidRPr="00512CFD">
              <w:t>Izglītības iestādes, to izglītojamie</w:t>
            </w:r>
            <w:r w:rsidR="00294AC8">
              <w:t xml:space="preserve"> un viņu vecāki</w:t>
            </w:r>
            <w:r w:rsidRPr="00512CFD">
              <w:t>, pedagogi un dibinātāji.</w:t>
            </w:r>
          </w:p>
        </w:tc>
      </w:tr>
      <w:tr w:rsidR="006A2A54" w:rsidRPr="006A2A54" w14:paraId="32951230" w14:textId="77777777" w:rsidTr="001F3B5E">
        <w:tc>
          <w:tcPr>
            <w:tcW w:w="311" w:type="pct"/>
            <w:hideMark/>
          </w:tcPr>
          <w:p w14:paraId="60CDBCA9" w14:textId="77777777" w:rsidR="006A2A54" w:rsidRPr="006A2A54" w:rsidRDefault="006A2A54" w:rsidP="00104409">
            <w:pPr>
              <w:keepNext/>
              <w:jc w:val="center"/>
            </w:pPr>
            <w:r w:rsidRPr="006A2A54">
              <w:t>2.</w:t>
            </w:r>
          </w:p>
        </w:tc>
        <w:tc>
          <w:tcPr>
            <w:tcW w:w="1479" w:type="pct"/>
            <w:hideMark/>
          </w:tcPr>
          <w:p w14:paraId="4FCB994D" w14:textId="77777777" w:rsidR="006A2A54" w:rsidRPr="006A2A54" w:rsidRDefault="006A2A54" w:rsidP="00104409">
            <w:pPr>
              <w:keepNext/>
            </w:pPr>
            <w:r w:rsidRPr="006A2A54">
              <w:t>Tiesiskā regulējuma ietekme uz tautsaimniecību un administratīvo slogu</w:t>
            </w:r>
          </w:p>
        </w:tc>
        <w:tc>
          <w:tcPr>
            <w:tcW w:w="3210" w:type="pct"/>
            <w:hideMark/>
          </w:tcPr>
          <w:p w14:paraId="50C50D1E" w14:textId="4737EBB6" w:rsidR="00FB15B3" w:rsidRPr="006A2A54" w:rsidRDefault="00512CFD" w:rsidP="00104409">
            <w:pPr>
              <w:keepNext/>
              <w:jc w:val="both"/>
            </w:pPr>
            <w:r>
              <w:t>Noteikumu projekts šo jomu neskar.</w:t>
            </w:r>
            <w:r w:rsidR="007358B0">
              <w:t xml:space="preserve"> </w:t>
            </w:r>
          </w:p>
        </w:tc>
      </w:tr>
      <w:tr w:rsidR="006A2A54" w:rsidRPr="006A2A54" w14:paraId="5C0FE136" w14:textId="77777777" w:rsidTr="001F3B5E">
        <w:tc>
          <w:tcPr>
            <w:tcW w:w="311" w:type="pct"/>
            <w:hideMark/>
          </w:tcPr>
          <w:p w14:paraId="1BE7908F" w14:textId="77777777" w:rsidR="006A2A54" w:rsidRPr="006A2A54" w:rsidRDefault="006A2A54" w:rsidP="00104409">
            <w:pPr>
              <w:keepNext/>
              <w:jc w:val="center"/>
            </w:pPr>
            <w:r w:rsidRPr="006A2A54">
              <w:t>3.</w:t>
            </w:r>
          </w:p>
        </w:tc>
        <w:tc>
          <w:tcPr>
            <w:tcW w:w="1479" w:type="pct"/>
            <w:hideMark/>
          </w:tcPr>
          <w:p w14:paraId="1DA17E9D" w14:textId="77777777" w:rsidR="006A2A54" w:rsidRPr="006A2A54" w:rsidRDefault="006A2A54" w:rsidP="00104409">
            <w:pPr>
              <w:keepNext/>
            </w:pPr>
            <w:r w:rsidRPr="006A2A54">
              <w:t>Administratīvo izmaksu monetārs novērtējums</w:t>
            </w:r>
          </w:p>
        </w:tc>
        <w:tc>
          <w:tcPr>
            <w:tcW w:w="3210" w:type="pct"/>
            <w:hideMark/>
          </w:tcPr>
          <w:p w14:paraId="57831D82" w14:textId="7E4BD8BA" w:rsidR="006A2A54" w:rsidRPr="006A2A54" w:rsidRDefault="00A17971" w:rsidP="00104409">
            <w:pPr>
              <w:keepNext/>
            </w:pPr>
            <w:r w:rsidRPr="00F000DC">
              <w:t>Noteikumu projekts šo jomu neskar.</w:t>
            </w:r>
          </w:p>
        </w:tc>
      </w:tr>
      <w:tr w:rsidR="006A2A54" w:rsidRPr="006A2A54" w14:paraId="24A4C73A" w14:textId="77777777" w:rsidTr="001F3B5E">
        <w:tc>
          <w:tcPr>
            <w:tcW w:w="311" w:type="pct"/>
            <w:hideMark/>
          </w:tcPr>
          <w:p w14:paraId="683FBE6A" w14:textId="77777777" w:rsidR="006A2A54" w:rsidRPr="006A2A54" w:rsidRDefault="006A2A54" w:rsidP="00104409">
            <w:pPr>
              <w:keepNext/>
              <w:jc w:val="center"/>
            </w:pPr>
            <w:r w:rsidRPr="006A2A54">
              <w:t>4.</w:t>
            </w:r>
          </w:p>
        </w:tc>
        <w:tc>
          <w:tcPr>
            <w:tcW w:w="1479" w:type="pct"/>
            <w:hideMark/>
          </w:tcPr>
          <w:p w14:paraId="7078D4A0" w14:textId="77777777" w:rsidR="006A2A54" w:rsidRPr="006A2A54" w:rsidRDefault="006A2A54" w:rsidP="00104409">
            <w:pPr>
              <w:keepNext/>
            </w:pPr>
            <w:r w:rsidRPr="006A2A54">
              <w:t>Atbilstības izmaksu monetārs novērtējums</w:t>
            </w:r>
          </w:p>
        </w:tc>
        <w:tc>
          <w:tcPr>
            <w:tcW w:w="3210" w:type="pct"/>
            <w:hideMark/>
          </w:tcPr>
          <w:p w14:paraId="66820272" w14:textId="064A802A" w:rsidR="006A2A54" w:rsidRPr="006A2A54" w:rsidRDefault="00A17971" w:rsidP="00104409">
            <w:pPr>
              <w:keepNext/>
            </w:pPr>
            <w:r w:rsidRPr="00F000DC">
              <w:t>Noteikumu projekts šo jomu neskar.</w:t>
            </w:r>
          </w:p>
        </w:tc>
      </w:tr>
      <w:tr w:rsidR="006A2A54" w:rsidRPr="006A2A54" w14:paraId="06CC275E" w14:textId="77777777" w:rsidTr="001F3B5E">
        <w:tc>
          <w:tcPr>
            <w:tcW w:w="311" w:type="pct"/>
            <w:hideMark/>
          </w:tcPr>
          <w:p w14:paraId="607BC08E" w14:textId="77777777" w:rsidR="006A2A54" w:rsidRPr="006A2A54" w:rsidRDefault="006A2A54" w:rsidP="00104409">
            <w:pPr>
              <w:keepNext/>
              <w:jc w:val="center"/>
            </w:pPr>
            <w:r w:rsidRPr="006A2A54">
              <w:t>5.</w:t>
            </w:r>
          </w:p>
        </w:tc>
        <w:tc>
          <w:tcPr>
            <w:tcW w:w="1479" w:type="pct"/>
            <w:hideMark/>
          </w:tcPr>
          <w:p w14:paraId="0696E22E" w14:textId="77777777" w:rsidR="006A2A54" w:rsidRPr="006A2A54" w:rsidRDefault="006A2A54" w:rsidP="00104409">
            <w:pPr>
              <w:keepNext/>
            </w:pPr>
            <w:r w:rsidRPr="006A2A54">
              <w:t>Cita informācija</w:t>
            </w:r>
          </w:p>
        </w:tc>
        <w:tc>
          <w:tcPr>
            <w:tcW w:w="3210" w:type="pct"/>
            <w:hideMark/>
          </w:tcPr>
          <w:p w14:paraId="656FA2F9" w14:textId="366DE531" w:rsidR="006A2A54" w:rsidRPr="006A2A54" w:rsidRDefault="00A17971" w:rsidP="00104409">
            <w:pPr>
              <w:keepNext/>
            </w:pPr>
            <w:r>
              <w:t>Nav.</w:t>
            </w:r>
          </w:p>
        </w:tc>
      </w:tr>
    </w:tbl>
    <w:p w14:paraId="610EECC1" w14:textId="77777777" w:rsidR="006A2A54" w:rsidRPr="006A2A54" w:rsidRDefault="006A2A54" w:rsidP="00104409">
      <w:pPr>
        <w:keepNext/>
      </w:pPr>
      <w:r w:rsidRPr="006A2A54">
        <w:br w:type="page"/>
      </w:r>
    </w:p>
    <w:tbl>
      <w:tblPr>
        <w:tblW w:w="525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71"/>
        <w:gridCol w:w="1144"/>
        <w:gridCol w:w="1008"/>
        <w:gridCol w:w="1018"/>
        <w:gridCol w:w="992"/>
        <w:gridCol w:w="1109"/>
        <w:gridCol w:w="1105"/>
        <w:gridCol w:w="1176"/>
      </w:tblGrid>
      <w:tr w:rsidR="006A2A54" w:rsidRPr="006A2A54" w14:paraId="7DAB4FFA" w14:textId="77777777" w:rsidTr="00455C9D">
        <w:tc>
          <w:tcPr>
            <w:tcW w:w="9524" w:type="dxa"/>
            <w:gridSpan w:val="8"/>
            <w:shd w:val="clear" w:color="auto" w:fill="auto"/>
            <w:vAlign w:val="center"/>
            <w:hideMark/>
          </w:tcPr>
          <w:p w14:paraId="149D9D61" w14:textId="5BE1480F" w:rsidR="006A2A54" w:rsidRPr="006A2A54" w:rsidRDefault="00EE79E2" w:rsidP="00104409">
            <w:pPr>
              <w:keepNext/>
              <w:jc w:val="center"/>
              <w:rPr>
                <w:b/>
                <w:bCs/>
                <w:lang w:eastAsia="en-US"/>
              </w:rPr>
            </w:pPr>
            <w:r w:rsidRPr="006A2A54">
              <w:rPr>
                <w:b/>
                <w:bCs/>
                <w:lang w:eastAsia="en-US"/>
              </w:rPr>
              <w:lastRenderedPageBreak/>
              <w:t>III. Tiesību akta projekta ietekme uz valsts budžetu un pašvaldību budžetiem</w:t>
            </w:r>
          </w:p>
        </w:tc>
      </w:tr>
      <w:tr w:rsidR="006A2A54" w:rsidRPr="006A2A54" w14:paraId="56EE858B" w14:textId="77777777" w:rsidTr="00455C9D">
        <w:tc>
          <w:tcPr>
            <w:tcW w:w="1972" w:type="dxa"/>
            <w:vMerge w:val="restart"/>
            <w:shd w:val="clear" w:color="auto" w:fill="FFFFFF"/>
            <w:vAlign w:val="center"/>
          </w:tcPr>
          <w:p w14:paraId="30281D70" w14:textId="77777777" w:rsidR="006A2A54" w:rsidRPr="006A2A54" w:rsidRDefault="006A2A54" w:rsidP="00104409">
            <w:pPr>
              <w:keepNext/>
              <w:jc w:val="center"/>
              <w:rPr>
                <w:bCs/>
                <w:lang w:eastAsia="en-US"/>
              </w:rPr>
            </w:pPr>
            <w:r w:rsidRPr="006A2A54">
              <w:rPr>
                <w:bCs/>
                <w:lang w:eastAsia="en-US"/>
              </w:rPr>
              <w:t>Rādītāji</w:t>
            </w:r>
          </w:p>
        </w:tc>
        <w:tc>
          <w:tcPr>
            <w:tcW w:w="2152" w:type="dxa"/>
            <w:gridSpan w:val="2"/>
            <w:vMerge w:val="restart"/>
            <w:shd w:val="clear" w:color="auto" w:fill="FFFFFF"/>
            <w:vAlign w:val="center"/>
            <w:hideMark/>
          </w:tcPr>
          <w:p w14:paraId="0DFE0FA8" w14:textId="55BA4366" w:rsidR="006A2A54" w:rsidRPr="006A2A54" w:rsidRDefault="0032148F" w:rsidP="0032148F">
            <w:pPr>
              <w:keepNext/>
              <w:jc w:val="center"/>
              <w:rPr>
                <w:bCs/>
                <w:lang w:eastAsia="en-US"/>
              </w:rPr>
            </w:pPr>
            <w:r>
              <w:rPr>
                <w:bCs/>
                <w:lang w:eastAsia="en-US"/>
              </w:rPr>
              <w:t>2021</w:t>
            </w:r>
            <w:r w:rsidR="00B21016">
              <w:rPr>
                <w:bCs/>
                <w:lang w:eastAsia="en-US"/>
              </w:rPr>
              <w:t>. </w:t>
            </w:r>
            <w:r w:rsidR="006A2A54" w:rsidRPr="006A2A54">
              <w:rPr>
                <w:bCs/>
                <w:lang w:eastAsia="en-US"/>
              </w:rPr>
              <w:t>gads</w:t>
            </w:r>
          </w:p>
        </w:tc>
        <w:tc>
          <w:tcPr>
            <w:tcW w:w="5400" w:type="dxa"/>
            <w:gridSpan w:val="5"/>
            <w:shd w:val="clear" w:color="auto" w:fill="FFFFFF"/>
            <w:vAlign w:val="center"/>
            <w:hideMark/>
          </w:tcPr>
          <w:p w14:paraId="66AB5BD2" w14:textId="77777777" w:rsidR="006A2A54" w:rsidRPr="006A2A54" w:rsidRDefault="006A2A54" w:rsidP="00104409">
            <w:pPr>
              <w:keepNext/>
              <w:jc w:val="center"/>
              <w:rPr>
                <w:lang w:eastAsia="en-US"/>
              </w:rPr>
            </w:pPr>
            <w:r w:rsidRPr="006A2A54">
              <w:rPr>
                <w:lang w:eastAsia="en-US"/>
              </w:rPr>
              <w:t>Turpmākie trīs gadi (</w:t>
            </w:r>
            <w:proofErr w:type="spellStart"/>
            <w:r w:rsidRPr="006A2A54">
              <w:rPr>
                <w:i/>
                <w:iCs/>
                <w:lang w:eastAsia="en-US"/>
              </w:rPr>
              <w:t>euro</w:t>
            </w:r>
            <w:proofErr w:type="spellEnd"/>
            <w:r w:rsidRPr="006A2A54">
              <w:rPr>
                <w:lang w:eastAsia="en-US"/>
              </w:rPr>
              <w:t>)</w:t>
            </w:r>
          </w:p>
        </w:tc>
      </w:tr>
      <w:tr w:rsidR="006A2A54" w:rsidRPr="006A2A54" w14:paraId="438F1F89" w14:textId="77777777" w:rsidTr="00455C9D">
        <w:tc>
          <w:tcPr>
            <w:tcW w:w="1972" w:type="dxa"/>
            <w:vMerge/>
            <w:shd w:val="clear" w:color="auto" w:fill="auto"/>
            <w:vAlign w:val="center"/>
            <w:hideMark/>
          </w:tcPr>
          <w:p w14:paraId="178601CF" w14:textId="77777777" w:rsidR="006A2A54" w:rsidRPr="006A2A54" w:rsidRDefault="006A2A54" w:rsidP="00104409">
            <w:pPr>
              <w:keepNext/>
              <w:jc w:val="center"/>
              <w:rPr>
                <w:bCs/>
                <w:lang w:eastAsia="en-US"/>
              </w:rPr>
            </w:pPr>
          </w:p>
        </w:tc>
        <w:tc>
          <w:tcPr>
            <w:tcW w:w="2152" w:type="dxa"/>
            <w:gridSpan w:val="2"/>
            <w:vMerge/>
            <w:shd w:val="clear" w:color="auto" w:fill="auto"/>
            <w:vAlign w:val="center"/>
            <w:hideMark/>
          </w:tcPr>
          <w:p w14:paraId="0B0033A6" w14:textId="77777777" w:rsidR="006A2A54" w:rsidRPr="006A2A54" w:rsidRDefault="006A2A54" w:rsidP="00104409">
            <w:pPr>
              <w:keepNext/>
              <w:jc w:val="center"/>
              <w:rPr>
                <w:bCs/>
                <w:lang w:eastAsia="en-US"/>
              </w:rPr>
            </w:pPr>
          </w:p>
        </w:tc>
        <w:tc>
          <w:tcPr>
            <w:tcW w:w="2010" w:type="dxa"/>
            <w:gridSpan w:val="2"/>
            <w:shd w:val="clear" w:color="auto" w:fill="FFFFFF"/>
            <w:vAlign w:val="center"/>
            <w:hideMark/>
          </w:tcPr>
          <w:p w14:paraId="21CA2BCB" w14:textId="65B87F83" w:rsidR="006A2A54" w:rsidRPr="006A2A54" w:rsidRDefault="0032148F">
            <w:pPr>
              <w:keepNext/>
              <w:jc w:val="center"/>
              <w:rPr>
                <w:bCs/>
                <w:lang w:eastAsia="en-US"/>
              </w:rPr>
            </w:pPr>
            <w:r>
              <w:rPr>
                <w:bCs/>
                <w:lang w:eastAsia="en-US"/>
              </w:rPr>
              <w:t>2022</w:t>
            </w:r>
            <w:r w:rsidR="00B21016">
              <w:rPr>
                <w:bCs/>
                <w:lang w:eastAsia="en-US"/>
              </w:rPr>
              <w:t>.</w:t>
            </w:r>
          </w:p>
        </w:tc>
        <w:tc>
          <w:tcPr>
            <w:tcW w:w="2214" w:type="dxa"/>
            <w:gridSpan w:val="2"/>
            <w:shd w:val="clear" w:color="auto" w:fill="FFFFFF"/>
            <w:vAlign w:val="center"/>
            <w:hideMark/>
          </w:tcPr>
          <w:p w14:paraId="63FEBEF8" w14:textId="7200AE29" w:rsidR="006A2A54" w:rsidRPr="006A2A54" w:rsidRDefault="0032148F">
            <w:pPr>
              <w:keepNext/>
              <w:jc w:val="center"/>
              <w:rPr>
                <w:bCs/>
                <w:lang w:eastAsia="en-US"/>
              </w:rPr>
            </w:pPr>
            <w:r>
              <w:rPr>
                <w:bCs/>
                <w:lang w:eastAsia="en-US"/>
              </w:rPr>
              <w:t>2023</w:t>
            </w:r>
            <w:r w:rsidR="00B21016">
              <w:rPr>
                <w:bCs/>
                <w:lang w:eastAsia="en-US"/>
              </w:rPr>
              <w:t>.</w:t>
            </w:r>
          </w:p>
        </w:tc>
        <w:tc>
          <w:tcPr>
            <w:tcW w:w="1176" w:type="dxa"/>
            <w:shd w:val="clear" w:color="auto" w:fill="FFFFFF"/>
            <w:vAlign w:val="center"/>
            <w:hideMark/>
          </w:tcPr>
          <w:p w14:paraId="3EF12116" w14:textId="1F26587A" w:rsidR="006A2A54" w:rsidRPr="006A2A54" w:rsidRDefault="0032148F">
            <w:pPr>
              <w:keepNext/>
              <w:jc w:val="center"/>
              <w:rPr>
                <w:bCs/>
                <w:lang w:eastAsia="en-US"/>
              </w:rPr>
            </w:pPr>
            <w:r>
              <w:rPr>
                <w:bCs/>
                <w:lang w:eastAsia="en-US"/>
              </w:rPr>
              <w:t>2024</w:t>
            </w:r>
            <w:r w:rsidR="00B21016">
              <w:rPr>
                <w:bCs/>
                <w:lang w:eastAsia="en-US"/>
              </w:rPr>
              <w:t>.</w:t>
            </w:r>
          </w:p>
        </w:tc>
      </w:tr>
      <w:tr w:rsidR="00B21016" w:rsidRPr="006A2A54" w14:paraId="10694A2C" w14:textId="77777777" w:rsidTr="00455C9D">
        <w:tc>
          <w:tcPr>
            <w:tcW w:w="1972" w:type="dxa"/>
            <w:vMerge/>
            <w:shd w:val="clear" w:color="auto" w:fill="auto"/>
            <w:vAlign w:val="center"/>
            <w:hideMark/>
          </w:tcPr>
          <w:p w14:paraId="64B99CBD" w14:textId="77777777" w:rsidR="006A2A54" w:rsidRPr="006A2A54" w:rsidRDefault="006A2A54" w:rsidP="00104409">
            <w:pPr>
              <w:keepNext/>
              <w:jc w:val="center"/>
              <w:rPr>
                <w:b/>
                <w:bCs/>
                <w:lang w:eastAsia="en-US"/>
              </w:rPr>
            </w:pPr>
          </w:p>
        </w:tc>
        <w:tc>
          <w:tcPr>
            <w:tcW w:w="1144" w:type="dxa"/>
            <w:shd w:val="clear" w:color="auto" w:fill="FFFFFF"/>
            <w:vAlign w:val="center"/>
            <w:hideMark/>
          </w:tcPr>
          <w:p w14:paraId="3FBEF3EC" w14:textId="77777777" w:rsidR="006A2A54" w:rsidRPr="006A2A54" w:rsidRDefault="006A2A54" w:rsidP="00104409">
            <w:pPr>
              <w:keepNext/>
              <w:jc w:val="center"/>
              <w:rPr>
                <w:lang w:eastAsia="en-US"/>
              </w:rPr>
            </w:pPr>
            <w:r w:rsidRPr="006A2A54">
              <w:rPr>
                <w:lang w:eastAsia="en-US"/>
              </w:rPr>
              <w:t>saskaņā ar valsts budžetu kārtējam gadam</w:t>
            </w:r>
          </w:p>
        </w:tc>
        <w:tc>
          <w:tcPr>
            <w:tcW w:w="1008" w:type="dxa"/>
            <w:shd w:val="clear" w:color="auto" w:fill="FFFFFF"/>
            <w:vAlign w:val="center"/>
            <w:hideMark/>
          </w:tcPr>
          <w:p w14:paraId="1BA088D7" w14:textId="77777777" w:rsidR="006A2A54" w:rsidRPr="006A2A54" w:rsidRDefault="006A2A54" w:rsidP="00104409">
            <w:pPr>
              <w:keepNext/>
              <w:jc w:val="center"/>
              <w:rPr>
                <w:lang w:eastAsia="en-US"/>
              </w:rPr>
            </w:pPr>
            <w:r w:rsidRPr="006A2A54">
              <w:rPr>
                <w:lang w:eastAsia="en-US"/>
              </w:rPr>
              <w:t>izmaiņas kārtējā gadā, salīdzinot ar valsts budžetu kārtējam gadam</w:t>
            </w:r>
          </w:p>
        </w:tc>
        <w:tc>
          <w:tcPr>
            <w:tcW w:w="1018" w:type="dxa"/>
            <w:shd w:val="clear" w:color="auto" w:fill="FFFFFF"/>
            <w:vAlign w:val="center"/>
            <w:hideMark/>
          </w:tcPr>
          <w:p w14:paraId="78AE6D5A" w14:textId="77777777" w:rsidR="006A2A54" w:rsidRPr="006A2A54" w:rsidRDefault="006A2A54" w:rsidP="00104409">
            <w:pPr>
              <w:keepNext/>
              <w:jc w:val="center"/>
              <w:rPr>
                <w:lang w:eastAsia="en-US"/>
              </w:rPr>
            </w:pPr>
            <w:r w:rsidRPr="006A2A54">
              <w:rPr>
                <w:lang w:eastAsia="en-US"/>
              </w:rPr>
              <w:t>saskaņā ar vidēja termiņa budžeta ietvaru</w:t>
            </w:r>
          </w:p>
        </w:tc>
        <w:tc>
          <w:tcPr>
            <w:tcW w:w="992" w:type="dxa"/>
            <w:shd w:val="clear" w:color="auto" w:fill="FFFFFF"/>
            <w:vAlign w:val="center"/>
            <w:hideMark/>
          </w:tcPr>
          <w:p w14:paraId="56A62050" w14:textId="5B334299" w:rsidR="006A2A54" w:rsidRPr="006A2A54" w:rsidRDefault="006A2A54" w:rsidP="00F50D19">
            <w:pPr>
              <w:keepNext/>
              <w:jc w:val="center"/>
              <w:rPr>
                <w:lang w:eastAsia="en-US"/>
              </w:rPr>
            </w:pPr>
            <w:r w:rsidRPr="006A2A54">
              <w:rPr>
                <w:lang w:eastAsia="en-US"/>
              </w:rPr>
              <w:t xml:space="preserve">izmaiņas, salīdzinot ar vidēja termiņa budžeta ietvaru </w:t>
            </w:r>
            <w:r w:rsidR="00B21016">
              <w:rPr>
                <w:lang w:eastAsia="en-US"/>
              </w:rPr>
              <w:t>202</w:t>
            </w:r>
            <w:r w:rsidR="00F50D19">
              <w:rPr>
                <w:lang w:eastAsia="en-US"/>
              </w:rPr>
              <w:t>2</w:t>
            </w:r>
            <w:r w:rsidR="00B21016">
              <w:rPr>
                <w:lang w:eastAsia="en-US"/>
              </w:rPr>
              <w:t>.</w:t>
            </w:r>
            <w:r w:rsidRPr="006A2A54">
              <w:rPr>
                <w:lang w:eastAsia="en-US"/>
              </w:rPr>
              <w:t xml:space="preserve"> gadam</w:t>
            </w:r>
          </w:p>
        </w:tc>
        <w:tc>
          <w:tcPr>
            <w:tcW w:w="1109" w:type="dxa"/>
            <w:shd w:val="clear" w:color="auto" w:fill="FFFFFF"/>
            <w:vAlign w:val="center"/>
            <w:hideMark/>
          </w:tcPr>
          <w:p w14:paraId="3E327867" w14:textId="77777777" w:rsidR="006A2A54" w:rsidRPr="006A2A54" w:rsidRDefault="006A2A54" w:rsidP="00104409">
            <w:pPr>
              <w:keepNext/>
              <w:jc w:val="center"/>
              <w:rPr>
                <w:lang w:eastAsia="en-US"/>
              </w:rPr>
            </w:pPr>
            <w:r w:rsidRPr="006A2A54">
              <w:rPr>
                <w:lang w:eastAsia="en-US"/>
              </w:rPr>
              <w:t>saskaņā ar vidēja termiņa budžeta ietvaru</w:t>
            </w:r>
          </w:p>
        </w:tc>
        <w:tc>
          <w:tcPr>
            <w:tcW w:w="1105" w:type="dxa"/>
            <w:shd w:val="clear" w:color="auto" w:fill="FFFFFF"/>
            <w:vAlign w:val="center"/>
            <w:hideMark/>
          </w:tcPr>
          <w:p w14:paraId="3141CB01" w14:textId="588EBD00" w:rsidR="006A2A54" w:rsidRPr="006A2A54" w:rsidRDefault="006A2A54" w:rsidP="00B21016">
            <w:pPr>
              <w:keepNext/>
              <w:jc w:val="center"/>
              <w:rPr>
                <w:lang w:eastAsia="en-US"/>
              </w:rPr>
            </w:pPr>
            <w:r w:rsidRPr="006A2A54">
              <w:rPr>
                <w:lang w:eastAsia="en-US"/>
              </w:rPr>
              <w:t xml:space="preserve">izmaiņas, salīdzinot ar vidēja termiņa budžeta </w:t>
            </w:r>
            <w:r w:rsidR="00B21016">
              <w:rPr>
                <w:lang w:eastAsia="en-US"/>
              </w:rPr>
              <w:t>202</w:t>
            </w:r>
            <w:r w:rsidR="00F50D19">
              <w:rPr>
                <w:lang w:eastAsia="en-US"/>
              </w:rPr>
              <w:t>3</w:t>
            </w:r>
            <w:r w:rsidR="00B21016">
              <w:rPr>
                <w:lang w:eastAsia="en-US"/>
              </w:rPr>
              <w:t>.</w:t>
            </w:r>
            <w:r w:rsidRPr="006A2A54">
              <w:rPr>
                <w:lang w:eastAsia="en-US"/>
              </w:rPr>
              <w:t xml:space="preserve"> gadam</w:t>
            </w:r>
          </w:p>
        </w:tc>
        <w:tc>
          <w:tcPr>
            <w:tcW w:w="1176" w:type="dxa"/>
            <w:shd w:val="clear" w:color="auto" w:fill="FFFFFF"/>
            <w:vAlign w:val="center"/>
            <w:hideMark/>
          </w:tcPr>
          <w:p w14:paraId="4415B90F" w14:textId="76F58589" w:rsidR="006A2A54" w:rsidRPr="006A2A54" w:rsidRDefault="006A2A54" w:rsidP="00F50D19">
            <w:pPr>
              <w:keepNext/>
              <w:jc w:val="center"/>
              <w:rPr>
                <w:lang w:eastAsia="en-US"/>
              </w:rPr>
            </w:pPr>
            <w:r w:rsidRPr="006A2A54">
              <w:rPr>
                <w:lang w:eastAsia="en-US"/>
              </w:rPr>
              <w:t xml:space="preserve">izmaiņas, salīdzinot ar vidēja termiņa budžeta ietvaru </w:t>
            </w:r>
            <w:r w:rsidRPr="006A2A54">
              <w:rPr>
                <w:lang w:eastAsia="en-US"/>
              </w:rPr>
              <w:br/>
            </w:r>
            <w:r w:rsidR="00B21016">
              <w:rPr>
                <w:lang w:eastAsia="en-US"/>
              </w:rPr>
              <w:t>202</w:t>
            </w:r>
            <w:r w:rsidR="00F50D19">
              <w:rPr>
                <w:lang w:eastAsia="en-US"/>
              </w:rPr>
              <w:t>3</w:t>
            </w:r>
            <w:r w:rsidR="00B21016">
              <w:rPr>
                <w:lang w:eastAsia="en-US"/>
              </w:rPr>
              <w:t>.</w:t>
            </w:r>
            <w:r w:rsidRPr="006A2A54">
              <w:rPr>
                <w:lang w:eastAsia="en-US"/>
              </w:rPr>
              <w:t xml:space="preserve"> gadam</w:t>
            </w:r>
          </w:p>
        </w:tc>
      </w:tr>
      <w:tr w:rsidR="009C403B" w:rsidRPr="006A2A54" w14:paraId="127A90AA" w14:textId="77777777" w:rsidTr="00455C9D">
        <w:tc>
          <w:tcPr>
            <w:tcW w:w="1972" w:type="dxa"/>
            <w:shd w:val="clear" w:color="auto" w:fill="FFFFFF"/>
            <w:vAlign w:val="center"/>
            <w:hideMark/>
          </w:tcPr>
          <w:p w14:paraId="324F25AB" w14:textId="77777777" w:rsidR="006A2A54" w:rsidRPr="00B21016" w:rsidRDefault="006A2A54" w:rsidP="00104409">
            <w:pPr>
              <w:keepNext/>
              <w:jc w:val="center"/>
              <w:rPr>
                <w:sz w:val="20"/>
                <w:szCs w:val="20"/>
                <w:lang w:eastAsia="en-US"/>
              </w:rPr>
            </w:pPr>
            <w:r w:rsidRPr="00B21016">
              <w:rPr>
                <w:sz w:val="20"/>
                <w:szCs w:val="20"/>
                <w:lang w:eastAsia="en-US"/>
              </w:rPr>
              <w:t>1</w:t>
            </w:r>
          </w:p>
        </w:tc>
        <w:tc>
          <w:tcPr>
            <w:tcW w:w="1144" w:type="dxa"/>
            <w:shd w:val="clear" w:color="auto" w:fill="FFFFFF"/>
            <w:vAlign w:val="center"/>
            <w:hideMark/>
          </w:tcPr>
          <w:p w14:paraId="2164E6FE" w14:textId="77777777" w:rsidR="006A2A54" w:rsidRPr="00334129" w:rsidRDefault="006A2A54" w:rsidP="00104409">
            <w:pPr>
              <w:keepNext/>
              <w:jc w:val="center"/>
              <w:rPr>
                <w:sz w:val="20"/>
                <w:szCs w:val="20"/>
                <w:lang w:eastAsia="en-US"/>
              </w:rPr>
            </w:pPr>
            <w:r w:rsidRPr="00334129">
              <w:rPr>
                <w:sz w:val="20"/>
                <w:szCs w:val="20"/>
                <w:lang w:eastAsia="en-US"/>
              </w:rPr>
              <w:t>2</w:t>
            </w:r>
          </w:p>
        </w:tc>
        <w:tc>
          <w:tcPr>
            <w:tcW w:w="1008" w:type="dxa"/>
            <w:shd w:val="clear" w:color="auto" w:fill="FFFFFF"/>
            <w:vAlign w:val="center"/>
            <w:hideMark/>
          </w:tcPr>
          <w:p w14:paraId="36FE57E5" w14:textId="77777777" w:rsidR="006A2A54" w:rsidRPr="00334129" w:rsidRDefault="006A2A54" w:rsidP="00104409">
            <w:pPr>
              <w:keepNext/>
              <w:jc w:val="center"/>
              <w:rPr>
                <w:sz w:val="20"/>
                <w:szCs w:val="20"/>
                <w:lang w:eastAsia="en-US"/>
              </w:rPr>
            </w:pPr>
            <w:r w:rsidRPr="00334129">
              <w:rPr>
                <w:sz w:val="20"/>
                <w:szCs w:val="20"/>
                <w:lang w:eastAsia="en-US"/>
              </w:rPr>
              <w:t>3</w:t>
            </w:r>
          </w:p>
        </w:tc>
        <w:tc>
          <w:tcPr>
            <w:tcW w:w="1018" w:type="dxa"/>
            <w:shd w:val="clear" w:color="auto" w:fill="FFFFFF"/>
            <w:vAlign w:val="center"/>
            <w:hideMark/>
          </w:tcPr>
          <w:p w14:paraId="567EB9D1" w14:textId="77777777" w:rsidR="006A2A54" w:rsidRPr="00B21016" w:rsidRDefault="006A2A54" w:rsidP="00104409">
            <w:pPr>
              <w:keepNext/>
              <w:jc w:val="center"/>
              <w:rPr>
                <w:sz w:val="20"/>
                <w:szCs w:val="20"/>
                <w:lang w:eastAsia="en-US"/>
              </w:rPr>
            </w:pPr>
            <w:r w:rsidRPr="00B21016">
              <w:rPr>
                <w:sz w:val="20"/>
                <w:szCs w:val="20"/>
                <w:lang w:eastAsia="en-US"/>
              </w:rPr>
              <w:t>4</w:t>
            </w:r>
          </w:p>
        </w:tc>
        <w:tc>
          <w:tcPr>
            <w:tcW w:w="992" w:type="dxa"/>
            <w:shd w:val="clear" w:color="auto" w:fill="FFFFFF"/>
            <w:vAlign w:val="center"/>
            <w:hideMark/>
          </w:tcPr>
          <w:p w14:paraId="56AB67A8" w14:textId="77777777" w:rsidR="006A2A54" w:rsidRPr="00B21016" w:rsidRDefault="006A2A54" w:rsidP="00104409">
            <w:pPr>
              <w:keepNext/>
              <w:jc w:val="center"/>
              <w:rPr>
                <w:sz w:val="20"/>
                <w:szCs w:val="20"/>
                <w:lang w:eastAsia="en-US"/>
              </w:rPr>
            </w:pPr>
            <w:r w:rsidRPr="00B21016">
              <w:rPr>
                <w:sz w:val="20"/>
                <w:szCs w:val="20"/>
                <w:lang w:eastAsia="en-US"/>
              </w:rPr>
              <w:t>5</w:t>
            </w:r>
          </w:p>
        </w:tc>
        <w:tc>
          <w:tcPr>
            <w:tcW w:w="1109" w:type="dxa"/>
            <w:shd w:val="clear" w:color="auto" w:fill="FFFFFF"/>
            <w:vAlign w:val="center"/>
            <w:hideMark/>
          </w:tcPr>
          <w:p w14:paraId="08B484FB" w14:textId="77777777" w:rsidR="006A2A54" w:rsidRPr="00B21016" w:rsidRDefault="006A2A54" w:rsidP="00104409">
            <w:pPr>
              <w:keepNext/>
              <w:jc w:val="center"/>
              <w:rPr>
                <w:sz w:val="20"/>
                <w:szCs w:val="20"/>
                <w:lang w:eastAsia="en-US"/>
              </w:rPr>
            </w:pPr>
            <w:r w:rsidRPr="00B21016">
              <w:rPr>
                <w:sz w:val="20"/>
                <w:szCs w:val="20"/>
                <w:lang w:eastAsia="en-US"/>
              </w:rPr>
              <w:t>6</w:t>
            </w:r>
          </w:p>
        </w:tc>
        <w:tc>
          <w:tcPr>
            <w:tcW w:w="1105" w:type="dxa"/>
            <w:shd w:val="clear" w:color="auto" w:fill="FFFFFF"/>
            <w:vAlign w:val="center"/>
            <w:hideMark/>
          </w:tcPr>
          <w:p w14:paraId="105E48B5" w14:textId="77777777" w:rsidR="006A2A54" w:rsidRPr="00B21016" w:rsidRDefault="006A2A54" w:rsidP="00104409">
            <w:pPr>
              <w:keepNext/>
              <w:jc w:val="center"/>
              <w:rPr>
                <w:sz w:val="20"/>
                <w:szCs w:val="20"/>
                <w:lang w:eastAsia="en-US"/>
              </w:rPr>
            </w:pPr>
            <w:r w:rsidRPr="00B21016">
              <w:rPr>
                <w:sz w:val="20"/>
                <w:szCs w:val="20"/>
                <w:lang w:eastAsia="en-US"/>
              </w:rPr>
              <w:t>7</w:t>
            </w:r>
          </w:p>
        </w:tc>
        <w:tc>
          <w:tcPr>
            <w:tcW w:w="1176" w:type="dxa"/>
            <w:shd w:val="clear" w:color="auto" w:fill="FFFFFF"/>
            <w:vAlign w:val="center"/>
            <w:hideMark/>
          </w:tcPr>
          <w:p w14:paraId="0C181216" w14:textId="77777777" w:rsidR="006A2A54" w:rsidRPr="00B21016" w:rsidRDefault="006A2A54" w:rsidP="00104409">
            <w:pPr>
              <w:keepNext/>
              <w:jc w:val="center"/>
              <w:rPr>
                <w:sz w:val="20"/>
                <w:szCs w:val="20"/>
                <w:lang w:eastAsia="en-US"/>
              </w:rPr>
            </w:pPr>
            <w:r w:rsidRPr="00B21016">
              <w:rPr>
                <w:sz w:val="20"/>
                <w:szCs w:val="20"/>
                <w:lang w:eastAsia="en-US"/>
              </w:rPr>
              <w:t>8</w:t>
            </w:r>
          </w:p>
        </w:tc>
      </w:tr>
      <w:tr w:rsidR="009C403B" w:rsidRPr="006A2A54" w14:paraId="74CC7E0E" w14:textId="77777777" w:rsidTr="00455C9D">
        <w:tc>
          <w:tcPr>
            <w:tcW w:w="1972" w:type="dxa"/>
            <w:shd w:val="clear" w:color="auto" w:fill="FFFFFF"/>
            <w:hideMark/>
          </w:tcPr>
          <w:p w14:paraId="030C85DB" w14:textId="77777777" w:rsidR="006A2A54" w:rsidRPr="006A2A54" w:rsidRDefault="006A2A54" w:rsidP="00104409">
            <w:pPr>
              <w:keepNext/>
              <w:rPr>
                <w:lang w:eastAsia="en-US"/>
              </w:rPr>
            </w:pPr>
            <w:r w:rsidRPr="006A2A54">
              <w:rPr>
                <w:lang w:eastAsia="en-US"/>
              </w:rPr>
              <w:t>1. Budžeta ieņēmumi</w:t>
            </w:r>
          </w:p>
        </w:tc>
        <w:tc>
          <w:tcPr>
            <w:tcW w:w="1144" w:type="dxa"/>
            <w:shd w:val="clear" w:color="auto" w:fill="FFFFFF"/>
            <w:vAlign w:val="center"/>
            <w:hideMark/>
          </w:tcPr>
          <w:p w14:paraId="1277C999" w14:textId="6C283941" w:rsidR="006A2A54" w:rsidRPr="00334129" w:rsidRDefault="00455C9D" w:rsidP="00104409">
            <w:pPr>
              <w:keepNext/>
              <w:jc w:val="center"/>
              <w:rPr>
                <w:sz w:val="22"/>
                <w:szCs w:val="22"/>
                <w:lang w:eastAsia="en-US"/>
              </w:rPr>
            </w:pPr>
            <w:r w:rsidRPr="00334129">
              <w:rPr>
                <w:sz w:val="22"/>
                <w:szCs w:val="22"/>
                <w:lang w:eastAsia="en-US"/>
              </w:rPr>
              <w:t>11 852 196</w:t>
            </w:r>
          </w:p>
        </w:tc>
        <w:tc>
          <w:tcPr>
            <w:tcW w:w="1008" w:type="dxa"/>
            <w:shd w:val="clear" w:color="auto" w:fill="FFFFFF"/>
            <w:vAlign w:val="center"/>
            <w:hideMark/>
          </w:tcPr>
          <w:p w14:paraId="187DBE6A" w14:textId="1DD1673C" w:rsidR="006A2A54" w:rsidRPr="00334129" w:rsidRDefault="009E0ECB" w:rsidP="00104409">
            <w:pPr>
              <w:keepNext/>
              <w:jc w:val="center"/>
              <w:rPr>
                <w:sz w:val="22"/>
                <w:szCs w:val="22"/>
                <w:lang w:eastAsia="en-US"/>
              </w:rPr>
            </w:pPr>
            <w:r w:rsidRPr="00334129">
              <w:rPr>
                <w:sz w:val="22"/>
                <w:szCs w:val="22"/>
                <w:lang w:eastAsia="en-US"/>
              </w:rPr>
              <w:t>0</w:t>
            </w:r>
          </w:p>
        </w:tc>
        <w:tc>
          <w:tcPr>
            <w:tcW w:w="1018" w:type="dxa"/>
            <w:shd w:val="clear" w:color="auto" w:fill="FFFFFF"/>
            <w:vAlign w:val="center"/>
            <w:hideMark/>
          </w:tcPr>
          <w:p w14:paraId="2AFEAC18" w14:textId="3B03622C" w:rsidR="006A2A54" w:rsidRPr="00B21016" w:rsidRDefault="00844553" w:rsidP="00E4466E">
            <w:pPr>
              <w:keepNext/>
              <w:ind w:left="-27" w:right="-4"/>
              <w:jc w:val="center"/>
              <w:rPr>
                <w:sz w:val="22"/>
                <w:szCs w:val="22"/>
                <w:lang w:eastAsia="en-US"/>
              </w:rPr>
            </w:pPr>
            <w:r w:rsidRPr="00844553">
              <w:rPr>
                <w:sz w:val="22"/>
                <w:szCs w:val="22"/>
                <w:lang w:eastAsia="en-US"/>
              </w:rPr>
              <w:t>12 203 316</w:t>
            </w:r>
          </w:p>
        </w:tc>
        <w:tc>
          <w:tcPr>
            <w:tcW w:w="992" w:type="dxa"/>
            <w:shd w:val="clear" w:color="auto" w:fill="FFFFFF"/>
            <w:vAlign w:val="center"/>
            <w:hideMark/>
          </w:tcPr>
          <w:p w14:paraId="071CE86B" w14:textId="057238D3" w:rsidR="006A2A54" w:rsidRPr="00B21016" w:rsidRDefault="009E0ECB" w:rsidP="00104409">
            <w:pPr>
              <w:keepNext/>
              <w:jc w:val="center"/>
              <w:rPr>
                <w:sz w:val="22"/>
                <w:szCs w:val="22"/>
                <w:lang w:eastAsia="en-US"/>
              </w:rPr>
            </w:pPr>
            <w:r>
              <w:rPr>
                <w:sz w:val="22"/>
                <w:szCs w:val="22"/>
                <w:lang w:eastAsia="en-US"/>
              </w:rPr>
              <w:t>0</w:t>
            </w:r>
          </w:p>
        </w:tc>
        <w:tc>
          <w:tcPr>
            <w:tcW w:w="1109" w:type="dxa"/>
            <w:shd w:val="clear" w:color="auto" w:fill="FFFFFF"/>
            <w:vAlign w:val="center"/>
            <w:hideMark/>
          </w:tcPr>
          <w:p w14:paraId="7B0D0039" w14:textId="4A4E7C12" w:rsidR="006A2A54" w:rsidRPr="00B21016" w:rsidRDefault="00E4466E" w:rsidP="00104409">
            <w:pPr>
              <w:keepNext/>
              <w:jc w:val="center"/>
              <w:rPr>
                <w:sz w:val="22"/>
                <w:szCs w:val="22"/>
                <w:lang w:eastAsia="en-US"/>
              </w:rPr>
            </w:pPr>
            <w:r w:rsidRPr="00E4466E">
              <w:rPr>
                <w:sz w:val="22"/>
                <w:szCs w:val="22"/>
                <w:lang w:eastAsia="en-US"/>
              </w:rPr>
              <w:t>12</w:t>
            </w:r>
            <w:r>
              <w:rPr>
                <w:sz w:val="22"/>
                <w:szCs w:val="22"/>
                <w:lang w:eastAsia="en-US"/>
              </w:rPr>
              <w:t> </w:t>
            </w:r>
            <w:r w:rsidRPr="00E4466E">
              <w:rPr>
                <w:sz w:val="22"/>
                <w:szCs w:val="22"/>
                <w:lang w:eastAsia="en-US"/>
              </w:rPr>
              <w:t>203</w:t>
            </w:r>
            <w:r>
              <w:rPr>
                <w:sz w:val="22"/>
                <w:szCs w:val="22"/>
                <w:lang w:eastAsia="en-US"/>
              </w:rPr>
              <w:t xml:space="preserve"> </w:t>
            </w:r>
            <w:r w:rsidRPr="00E4466E">
              <w:rPr>
                <w:sz w:val="22"/>
                <w:szCs w:val="22"/>
                <w:lang w:eastAsia="en-US"/>
              </w:rPr>
              <w:t>316</w:t>
            </w:r>
          </w:p>
        </w:tc>
        <w:tc>
          <w:tcPr>
            <w:tcW w:w="1105" w:type="dxa"/>
            <w:shd w:val="clear" w:color="auto" w:fill="FFFFFF"/>
            <w:vAlign w:val="center"/>
            <w:hideMark/>
          </w:tcPr>
          <w:p w14:paraId="3CCE831E" w14:textId="09FAA9D5" w:rsidR="006A2A54" w:rsidRPr="006A2A54" w:rsidRDefault="009E0ECB" w:rsidP="00104409">
            <w:pPr>
              <w:keepNext/>
              <w:jc w:val="center"/>
              <w:rPr>
                <w:lang w:eastAsia="en-US"/>
              </w:rPr>
            </w:pPr>
            <w:r>
              <w:rPr>
                <w:lang w:eastAsia="en-US"/>
              </w:rPr>
              <w:t>0</w:t>
            </w:r>
          </w:p>
        </w:tc>
        <w:tc>
          <w:tcPr>
            <w:tcW w:w="1176" w:type="dxa"/>
            <w:shd w:val="clear" w:color="auto" w:fill="FFFFFF"/>
            <w:vAlign w:val="center"/>
            <w:hideMark/>
          </w:tcPr>
          <w:p w14:paraId="5988EBD7" w14:textId="7052062D" w:rsidR="006A2A54" w:rsidRPr="006A2A54" w:rsidRDefault="009E0ECB" w:rsidP="00104409">
            <w:pPr>
              <w:keepNext/>
              <w:jc w:val="center"/>
              <w:rPr>
                <w:lang w:eastAsia="en-US"/>
              </w:rPr>
            </w:pPr>
            <w:r>
              <w:rPr>
                <w:lang w:eastAsia="en-US"/>
              </w:rPr>
              <w:t>0</w:t>
            </w:r>
          </w:p>
        </w:tc>
      </w:tr>
      <w:tr w:rsidR="00B21016" w:rsidRPr="006A2A54" w14:paraId="5FD03F5D" w14:textId="77777777" w:rsidTr="00455C9D">
        <w:tc>
          <w:tcPr>
            <w:tcW w:w="1972" w:type="dxa"/>
            <w:shd w:val="clear" w:color="auto" w:fill="auto"/>
            <w:hideMark/>
          </w:tcPr>
          <w:p w14:paraId="640CCEF4" w14:textId="77777777" w:rsidR="00B21016" w:rsidRPr="006A2A54" w:rsidRDefault="00B21016" w:rsidP="00B21016">
            <w:pPr>
              <w:keepNext/>
              <w:rPr>
                <w:lang w:eastAsia="en-US"/>
              </w:rPr>
            </w:pPr>
            <w:r w:rsidRPr="006A2A54">
              <w:rPr>
                <w:lang w:eastAsia="en-US"/>
              </w:rPr>
              <w:t>1.1. valsts pamatbudžets, tai skaitā ieņēmumi no maksas pakalpojumiem un citi pašu ieņēmumi</w:t>
            </w:r>
          </w:p>
        </w:tc>
        <w:tc>
          <w:tcPr>
            <w:tcW w:w="1144" w:type="dxa"/>
            <w:shd w:val="clear" w:color="auto" w:fill="auto"/>
            <w:vAlign w:val="center"/>
            <w:hideMark/>
          </w:tcPr>
          <w:p w14:paraId="5A6C47D2" w14:textId="0A8E4764" w:rsidR="00B21016" w:rsidRPr="00334129" w:rsidRDefault="00455C9D" w:rsidP="00B21016">
            <w:pPr>
              <w:keepNext/>
              <w:jc w:val="center"/>
              <w:rPr>
                <w:lang w:eastAsia="en-US"/>
              </w:rPr>
            </w:pPr>
            <w:r w:rsidRPr="00334129">
              <w:rPr>
                <w:sz w:val="22"/>
                <w:szCs w:val="22"/>
                <w:lang w:eastAsia="en-US"/>
              </w:rPr>
              <w:t>11 852 196</w:t>
            </w:r>
          </w:p>
        </w:tc>
        <w:tc>
          <w:tcPr>
            <w:tcW w:w="1008" w:type="dxa"/>
            <w:shd w:val="clear" w:color="auto" w:fill="auto"/>
            <w:vAlign w:val="center"/>
            <w:hideMark/>
          </w:tcPr>
          <w:p w14:paraId="070C33AF" w14:textId="7F770FD1" w:rsidR="00B21016" w:rsidRPr="00334129" w:rsidRDefault="009E0ECB" w:rsidP="00B21016">
            <w:pPr>
              <w:keepNext/>
              <w:jc w:val="center"/>
              <w:rPr>
                <w:lang w:eastAsia="en-US"/>
              </w:rPr>
            </w:pPr>
            <w:r w:rsidRPr="00334129">
              <w:rPr>
                <w:lang w:eastAsia="en-US"/>
              </w:rPr>
              <w:t>0</w:t>
            </w:r>
          </w:p>
        </w:tc>
        <w:tc>
          <w:tcPr>
            <w:tcW w:w="1018" w:type="dxa"/>
            <w:shd w:val="clear" w:color="auto" w:fill="auto"/>
            <w:vAlign w:val="center"/>
            <w:hideMark/>
          </w:tcPr>
          <w:p w14:paraId="7A2785BB" w14:textId="3E233B6F" w:rsidR="00B21016" w:rsidRPr="00E4466E" w:rsidRDefault="00844553" w:rsidP="00E4466E">
            <w:pPr>
              <w:keepNext/>
              <w:ind w:left="-27" w:right="-4"/>
              <w:jc w:val="center"/>
              <w:rPr>
                <w:sz w:val="22"/>
                <w:szCs w:val="22"/>
                <w:lang w:eastAsia="en-US"/>
              </w:rPr>
            </w:pPr>
            <w:r w:rsidRPr="00844553">
              <w:rPr>
                <w:sz w:val="22"/>
                <w:szCs w:val="22"/>
                <w:lang w:eastAsia="en-US"/>
              </w:rPr>
              <w:t>12 203 316</w:t>
            </w:r>
          </w:p>
        </w:tc>
        <w:tc>
          <w:tcPr>
            <w:tcW w:w="992" w:type="dxa"/>
            <w:shd w:val="clear" w:color="auto" w:fill="auto"/>
            <w:vAlign w:val="center"/>
            <w:hideMark/>
          </w:tcPr>
          <w:p w14:paraId="594249DF" w14:textId="728BFD08" w:rsidR="00B21016" w:rsidRPr="006A2A54" w:rsidRDefault="009E0ECB" w:rsidP="00B21016">
            <w:pPr>
              <w:keepNext/>
              <w:jc w:val="center"/>
              <w:rPr>
                <w:lang w:eastAsia="en-US"/>
              </w:rPr>
            </w:pPr>
            <w:r>
              <w:rPr>
                <w:lang w:eastAsia="en-US"/>
              </w:rPr>
              <w:t>0</w:t>
            </w:r>
          </w:p>
        </w:tc>
        <w:tc>
          <w:tcPr>
            <w:tcW w:w="1109" w:type="dxa"/>
            <w:shd w:val="clear" w:color="auto" w:fill="auto"/>
            <w:vAlign w:val="center"/>
            <w:hideMark/>
          </w:tcPr>
          <w:p w14:paraId="5F18E26D" w14:textId="4974A94B" w:rsidR="00B21016" w:rsidRPr="006A2A54" w:rsidRDefault="00E4466E" w:rsidP="00B21016">
            <w:pPr>
              <w:keepNext/>
              <w:jc w:val="center"/>
              <w:rPr>
                <w:lang w:eastAsia="en-US"/>
              </w:rPr>
            </w:pPr>
            <w:r w:rsidRPr="00E4466E">
              <w:rPr>
                <w:sz w:val="22"/>
                <w:szCs w:val="22"/>
                <w:lang w:eastAsia="en-US"/>
              </w:rPr>
              <w:t>12</w:t>
            </w:r>
            <w:r>
              <w:rPr>
                <w:sz w:val="22"/>
                <w:szCs w:val="22"/>
                <w:lang w:eastAsia="en-US"/>
              </w:rPr>
              <w:t> </w:t>
            </w:r>
            <w:r w:rsidRPr="00E4466E">
              <w:rPr>
                <w:sz w:val="22"/>
                <w:szCs w:val="22"/>
                <w:lang w:eastAsia="en-US"/>
              </w:rPr>
              <w:t>203</w:t>
            </w:r>
            <w:r>
              <w:rPr>
                <w:sz w:val="22"/>
                <w:szCs w:val="22"/>
                <w:lang w:eastAsia="en-US"/>
              </w:rPr>
              <w:t xml:space="preserve"> </w:t>
            </w:r>
            <w:r w:rsidRPr="00E4466E">
              <w:rPr>
                <w:sz w:val="22"/>
                <w:szCs w:val="22"/>
                <w:lang w:eastAsia="en-US"/>
              </w:rPr>
              <w:t>316</w:t>
            </w:r>
          </w:p>
        </w:tc>
        <w:tc>
          <w:tcPr>
            <w:tcW w:w="1105" w:type="dxa"/>
            <w:shd w:val="clear" w:color="auto" w:fill="auto"/>
            <w:vAlign w:val="center"/>
            <w:hideMark/>
          </w:tcPr>
          <w:p w14:paraId="58B35772" w14:textId="14FE1583" w:rsidR="00B21016" w:rsidRPr="006A2A54" w:rsidRDefault="009E0ECB" w:rsidP="00B21016">
            <w:pPr>
              <w:keepNext/>
              <w:jc w:val="center"/>
              <w:rPr>
                <w:lang w:eastAsia="en-US"/>
              </w:rPr>
            </w:pPr>
            <w:r>
              <w:rPr>
                <w:lang w:eastAsia="en-US"/>
              </w:rPr>
              <w:t>0</w:t>
            </w:r>
          </w:p>
        </w:tc>
        <w:tc>
          <w:tcPr>
            <w:tcW w:w="1176" w:type="dxa"/>
            <w:shd w:val="clear" w:color="auto" w:fill="auto"/>
            <w:vAlign w:val="center"/>
            <w:hideMark/>
          </w:tcPr>
          <w:p w14:paraId="732EA72C" w14:textId="15C3D639" w:rsidR="00B21016" w:rsidRPr="006A2A54" w:rsidRDefault="009E0ECB" w:rsidP="00B21016">
            <w:pPr>
              <w:keepNext/>
              <w:jc w:val="center"/>
              <w:rPr>
                <w:lang w:eastAsia="en-US"/>
              </w:rPr>
            </w:pPr>
            <w:r>
              <w:rPr>
                <w:lang w:eastAsia="en-US"/>
              </w:rPr>
              <w:t>0</w:t>
            </w:r>
          </w:p>
        </w:tc>
      </w:tr>
      <w:tr w:rsidR="00B21016" w:rsidRPr="006A2A54" w14:paraId="4D86BAA6" w14:textId="77777777" w:rsidTr="00455C9D">
        <w:tc>
          <w:tcPr>
            <w:tcW w:w="1972" w:type="dxa"/>
            <w:shd w:val="clear" w:color="auto" w:fill="auto"/>
            <w:hideMark/>
          </w:tcPr>
          <w:p w14:paraId="531BC0B4" w14:textId="77777777" w:rsidR="00B21016" w:rsidRPr="006A2A54" w:rsidRDefault="00B21016" w:rsidP="00B21016">
            <w:pPr>
              <w:keepNext/>
              <w:rPr>
                <w:lang w:eastAsia="en-US"/>
              </w:rPr>
            </w:pPr>
            <w:r w:rsidRPr="006A2A54">
              <w:rPr>
                <w:lang w:eastAsia="en-US"/>
              </w:rPr>
              <w:t>1.2. valsts speciālais budžets</w:t>
            </w:r>
          </w:p>
        </w:tc>
        <w:tc>
          <w:tcPr>
            <w:tcW w:w="1144" w:type="dxa"/>
            <w:shd w:val="clear" w:color="auto" w:fill="auto"/>
            <w:vAlign w:val="center"/>
            <w:hideMark/>
          </w:tcPr>
          <w:p w14:paraId="6ABCA523" w14:textId="15A6C522" w:rsidR="00B21016" w:rsidRPr="00334129" w:rsidRDefault="009E0ECB" w:rsidP="00B21016">
            <w:pPr>
              <w:keepNext/>
              <w:jc w:val="center"/>
              <w:rPr>
                <w:lang w:eastAsia="en-US"/>
              </w:rPr>
            </w:pPr>
            <w:r w:rsidRPr="00334129">
              <w:rPr>
                <w:lang w:eastAsia="en-US"/>
              </w:rPr>
              <w:t>0</w:t>
            </w:r>
          </w:p>
        </w:tc>
        <w:tc>
          <w:tcPr>
            <w:tcW w:w="1008" w:type="dxa"/>
            <w:shd w:val="clear" w:color="auto" w:fill="auto"/>
            <w:vAlign w:val="center"/>
            <w:hideMark/>
          </w:tcPr>
          <w:p w14:paraId="62181132" w14:textId="39E554BC" w:rsidR="00B21016" w:rsidRPr="00334129" w:rsidRDefault="009E0ECB" w:rsidP="00B21016">
            <w:pPr>
              <w:keepNext/>
              <w:jc w:val="center"/>
              <w:rPr>
                <w:lang w:eastAsia="en-US"/>
              </w:rPr>
            </w:pPr>
            <w:r w:rsidRPr="00334129">
              <w:rPr>
                <w:lang w:eastAsia="en-US"/>
              </w:rPr>
              <w:t>0</w:t>
            </w:r>
          </w:p>
        </w:tc>
        <w:tc>
          <w:tcPr>
            <w:tcW w:w="1018" w:type="dxa"/>
            <w:shd w:val="clear" w:color="auto" w:fill="auto"/>
            <w:vAlign w:val="center"/>
            <w:hideMark/>
          </w:tcPr>
          <w:p w14:paraId="50589111" w14:textId="2DF090A8" w:rsidR="00B21016" w:rsidRPr="006A2A54" w:rsidRDefault="009E0ECB" w:rsidP="00B21016">
            <w:pPr>
              <w:keepNext/>
              <w:jc w:val="center"/>
              <w:rPr>
                <w:lang w:eastAsia="en-US"/>
              </w:rPr>
            </w:pPr>
            <w:r>
              <w:rPr>
                <w:lang w:eastAsia="en-US"/>
              </w:rPr>
              <w:t>0</w:t>
            </w:r>
          </w:p>
        </w:tc>
        <w:tc>
          <w:tcPr>
            <w:tcW w:w="992" w:type="dxa"/>
            <w:shd w:val="clear" w:color="auto" w:fill="auto"/>
            <w:vAlign w:val="center"/>
            <w:hideMark/>
          </w:tcPr>
          <w:p w14:paraId="70C21436" w14:textId="00EA4724" w:rsidR="00B21016" w:rsidRPr="006A2A54" w:rsidRDefault="009E0ECB" w:rsidP="00B21016">
            <w:pPr>
              <w:keepNext/>
              <w:jc w:val="center"/>
              <w:rPr>
                <w:lang w:eastAsia="en-US"/>
              </w:rPr>
            </w:pPr>
            <w:r>
              <w:rPr>
                <w:lang w:eastAsia="en-US"/>
              </w:rPr>
              <w:t>0</w:t>
            </w:r>
          </w:p>
        </w:tc>
        <w:tc>
          <w:tcPr>
            <w:tcW w:w="1109" w:type="dxa"/>
            <w:shd w:val="clear" w:color="auto" w:fill="auto"/>
            <w:vAlign w:val="center"/>
            <w:hideMark/>
          </w:tcPr>
          <w:p w14:paraId="608E500E" w14:textId="36B7D5D8" w:rsidR="00B21016" w:rsidRPr="006A2A54" w:rsidRDefault="009E0ECB" w:rsidP="00B21016">
            <w:pPr>
              <w:keepNext/>
              <w:jc w:val="center"/>
              <w:rPr>
                <w:lang w:eastAsia="en-US"/>
              </w:rPr>
            </w:pPr>
            <w:r>
              <w:rPr>
                <w:lang w:eastAsia="en-US"/>
              </w:rPr>
              <w:t>0</w:t>
            </w:r>
          </w:p>
        </w:tc>
        <w:tc>
          <w:tcPr>
            <w:tcW w:w="1105" w:type="dxa"/>
            <w:shd w:val="clear" w:color="auto" w:fill="auto"/>
            <w:vAlign w:val="center"/>
            <w:hideMark/>
          </w:tcPr>
          <w:p w14:paraId="4EA20D6A" w14:textId="459387ED" w:rsidR="00B21016" w:rsidRPr="006A2A54" w:rsidRDefault="009E0ECB" w:rsidP="00B21016">
            <w:pPr>
              <w:keepNext/>
              <w:jc w:val="center"/>
              <w:rPr>
                <w:lang w:eastAsia="en-US"/>
              </w:rPr>
            </w:pPr>
            <w:r>
              <w:rPr>
                <w:lang w:eastAsia="en-US"/>
              </w:rPr>
              <w:t>0</w:t>
            </w:r>
          </w:p>
        </w:tc>
        <w:tc>
          <w:tcPr>
            <w:tcW w:w="1176" w:type="dxa"/>
            <w:shd w:val="clear" w:color="auto" w:fill="auto"/>
            <w:vAlign w:val="center"/>
            <w:hideMark/>
          </w:tcPr>
          <w:p w14:paraId="39E97DAA" w14:textId="47D266D7" w:rsidR="00B21016" w:rsidRPr="006A2A54" w:rsidRDefault="009E0ECB" w:rsidP="00B21016">
            <w:pPr>
              <w:keepNext/>
              <w:jc w:val="center"/>
              <w:rPr>
                <w:lang w:eastAsia="en-US"/>
              </w:rPr>
            </w:pPr>
            <w:r>
              <w:rPr>
                <w:lang w:eastAsia="en-US"/>
              </w:rPr>
              <w:t>0</w:t>
            </w:r>
          </w:p>
        </w:tc>
      </w:tr>
      <w:tr w:rsidR="00B21016" w:rsidRPr="006A2A54" w14:paraId="02E37F1A" w14:textId="77777777" w:rsidTr="00455C9D">
        <w:tc>
          <w:tcPr>
            <w:tcW w:w="1972" w:type="dxa"/>
            <w:shd w:val="clear" w:color="auto" w:fill="auto"/>
            <w:hideMark/>
          </w:tcPr>
          <w:p w14:paraId="44B34E9E" w14:textId="77777777" w:rsidR="00B21016" w:rsidRPr="006A2A54" w:rsidRDefault="00B21016" w:rsidP="00B21016">
            <w:pPr>
              <w:keepNext/>
              <w:rPr>
                <w:lang w:eastAsia="en-US"/>
              </w:rPr>
            </w:pPr>
            <w:r w:rsidRPr="006A2A54">
              <w:rPr>
                <w:lang w:eastAsia="en-US"/>
              </w:rPr>
              <w:t>1.3. pašvaldību budžets</w:t>
            </w:r>
          </w:p>
        </w:tc>
        <w:tc>
          <w:tcPr>
            <w:tcW w:w="1144" w:type="dxa"/>
            <w:shd w:val="clear" w:color="auto" w:fill="auto"/>
            <w:vAlign w:val="center"/>
            <w:hideMark/>
          </w:tcPr>
          <w:p w14:paraId="2DDBD4D9" w14:textId="6A82E307" w:rsidR="00B21016" w:rsidRPr="00334129" w:rsidRDefault="009E0ECB" w:rsidP="00B21016">
            <w:pPr>
              <w:keepNext/>
              <w:jc w:val="center"/>
              <w:rPr>
                <w:lang w:eastAsia="en-US"/>
              </w:rPr>
            </w:pPr>
            <w:r w:rsidRPr="00334129">
              <w:rPr>
                <w:lang w:eastAsia="en-US"/>
              </w:rPr>
              <w:t>0</w:t>
            </w:r>
          </w:p>
        </w:tc>
        <w:tc>
          <w:tcPr>
            <w:tcW w:w="1008" w:type="dxa"/>
            <w:shd w:val="clear" w:color="auto" w:fill="auto"/>
            <w:vAlign w:val="center"/>
            <w:hideMark/>
          </w:tcPr>
          <w:p w14:paraId="65814D51" w14:textId="26715394" w:rsidR="00B21016" w:rsidRPr="00334129" w:rsidRDefault="009E0ECB" w:rsidP="00B21016">
            <w:pPr>
              <w:keepNext/>
              <w:jc w:val="center"/>
              <w:rPr>
                <w:lang w:eastAsia="en-US"/>
              </w:rPr>
            </w:pPr>
            <w:r w:rsidRPr="00334129">
              <w:rPr>
                <w:lang w:eastAsia="en-US"/>
              </w:rPr>
              <w:t>0</w:t>
            </w:r>
          </w:p>
        </w:tc>
        <w:tc>
          <w:tcPr>
            <w:tcW w:w="1018" w:type="dxa"/>
            <w:shd w:val="clear" w:color="auto" w:fill="auto"/>
            <w:vAlign w:val="center"/>
            <w:hideMark/>
          </w:tcPr>
          <w:p w14:paraId="2C7FF704" w14:textId="64A008EA" w:rsidR="00B21016" w:rsidRPr="006A2A54" w:rsidRDefault="009E0ECB" w:rsidP="00B21016">
            <w:pPr>
              <w:keepNext/>
              <w:jc w:val="center"/>
              <w:rPr>
                <w:lang w:eastAsia="en-US"/>
              </w:rPr>
            </w:pPr>
            <w:r>
              <w:rPr>
                <w:lang w:eastAsia="en-US"/>
              </w:rPr>
              <w:t>0</w:t>
            </w:r>
          </w:p>
        </w:tc>
        <w:tc>
          <w:tcPr>
            <w:tcW w:w="992" w:type="dxa"/>
            <w:shd w:val="clear" w:color="auto" w:fill="auto"/>
            <w:vAlign w:val="center"/>
            <w:hideMark/>
          </w:tcPr>
          <w:p w14:paraId="44341F15" w14:textId="47BFDC40" w:rsidR="00B21016" w:rsidRPr="006A2A54" w:rsidRDefault="009E0ECB" w:rsidP="00B21016">
            <w:pPr>
              <w:keepNext/>
              <w:jc w:val="center"/>
              <w:rPr>
                <w:lang w:eastAsia="en-US"/>
              </w:rPr>
            </w:pPr>
            <w:r>
              <w:rPr>
                <w:lang w:eastAsia="en-US"/>
              </w:rPr>
              <w:t>0</w:t>
            </w:r>
          </w:p>
        </w:tc>
        <w:tc>
          <w:tcPr>
            <w:tcW w:w="1109" w:type="dxa"/>
            <w:shd w:val="clear" w:color="auto" w:fill="auto"/>
            <w:vAlign w:val="center"/>
            <w:hideMark/>
          </w:tcPr>
          <w:p w14:paraId="1E993F2C" w14:textId="00BC02B0" w:rsidR="00B21016" w:rsidRPr="006A2A54" w:rsidRDefault="009E0ECB" w:rsidP="00B21016">
            <w:pPr>
              <w:keepNext/>
              <w:jc w:val="center"/>
              <w:rPr>
                <w:lang w:eastAsia="en-US"/>
              </w:rPr>
            </w:pPr>
            <w:r>
              <w:rPr>
                <w:lang w:eastAsia="en-US"/>
              </w:rPr>
              <w:t>0</w:t>
            </w:r>
          </w:p>
        </w:tc>
        <w:tc>
          <w:tcPr>
            <w:tcW w:w="1105" w:type="dxa"/>
            <w:shd w:val="clear" w:color="auto" w:fill="auto"/>
            <w:vAlign w:val="center"/>
            <w:hideMark/>
          </w:tcPr>
          <w:p w14:paraId="78194CF4" w14:textId="7CDE8C5F" w:rsidR="00B21016" w:rsidRPr="006A2A54" w:rsidRDefault="009E0ECB" w:rsidP="00B21016">
            <w:pPr>
              <w:keepNext/>
              <w:jc w:val="center"/>
              <w:rPr>
                <w:lang w:eastAsia="en-US"/>
              </w:rPr>
            </w:pPr>
            <w:r>
              <w:rPr>
                <w:lang w:eastAsia="en-US"/>
              </w:rPr>
              <w:t>0</w:t>
            </w:r>
          </w:p>
        </w:tc>
        <w:tc>
          <w:tcPr>
            <w:tcW w:w="1176" w:type="dxa"/>
            <w:shd w:val="clear" w:color="auto" w:fill="auto"/>
            <w:vAlign w:val="center"/>
            <w:hideMark/>
          </w:tcPr>
          <w:p w14:paraId="7DAA21E6" w14:textId="6DC0147A" w:rsidR="00B21016" w:rsidRPr="006A2A54" w:rsidRDefault="009E0ECB" w:rsidP="00B21016">
            <w:pPr>
              <w:keepNext/>
              <w:jc w:val="center"/>
              <w:rPr>
                <w:lang w:eastAsia="en-US"/>
              </w:rPr>
            </w:pPr>
            <w:r>
              <w:rPr>
                <w:lang w:eastAsia="en-US"/>
              </w:rPr>
              <w:t>0</w:t>
            </w:r>
          </w:p>
        </w:tc>
      </w:tr>
      <w:tr w:rsidR="00B21016" w:rsidRPr="006A2A54" w14:paraId="6E27D661" w14:textId="77777777" w:rsidTr="00455C9D">
        <w:tc>
          <w:tcPr>
            <w:tcW w:w="1972" w:type="dxa"/>
            <w:shd w:val="clear" w:color="auto" w:fill="auto"/>
            <w:hideMark/>
          </w:tcPr>
          <w:p w14:paraId="6C8FB660" w14:textId="77777777" w:rsidR="00B21016" w:rsidRPr="006A2A54" w:rsidRDefault="00B21016" w:rsidP="00B21016">
            <w:pPr>
              <w:keepNext/>
              <w:rPr>
                <w:lang w:eastAsia="en-US"/>
              </w:rPr>
            </w:pPr>
            <w:r w:rsidRPr="006A2A54">
              <w:rPr>
                <w:lang w:eastAsia="en-US"/>
              </w:rPr>
              <w:t>2. Budžeta izdevumi</w:t>
            </w:r>
          </w:p>
        </w:tc>
        <w:tc>
          <w:tcPr>
            <w:tcW w:w="1144" w:type="dxa"/>
            <w:shd w:val="clear" w:color="auto" w:fill="auto"/>
            <w:vAlign w:val="center"/>
            <w:hideMark/>
          </w:tcPr>
          <w:p w14:paraId="605467FA" w14:textId="5C71ECB9" w:rsidR="00B21016" w:rsidRPr="00334129" w:rsidRDefault="00455C9D" w:rsidP="00B21016">
            <w:pPr>
              <w:keepNext/>
              <w:jc w:val="center"/>
              <w:rPr>
                <w:lang w:eastAsia="en-US"/>
              </w:rPr>
            </w:pPr>
            <w:r w:rsidRPr="00334129">
              <w:rPr>
                <w:sz w:val="22"/>
                <w:szCs w:val="22"/>
                <w:lang w:eastAsia="en-US"/>
              </w:rPr>
              <w:t>11 852 196</w:t>
            </w:r>
          </w:p>
        </w:tc>
        <w:tc>
          <w:tcPr>
            <w:tcW w:w="1008" w:type="dxa"/>
            <w:shd w:val="clear" w:color="auto" w:fill="auto"/>
            <w:vAlign w:val="center"/>
            <w:hideMark/>
          </w:tcPr>
          <w:p w14:paraId="2125D057" w14:textId="3A4C8492" w:rsidR="00B21016" w:rsidRPr="00334129" w:rsidRDefault="009E0ECB" w:rsidP="00B21016">
            <w:pPr>
              <w:keepNext/>
              <w:jc w:val="center"/>
              <w:rPr>
                <w:lang w:eastAsia="en-US"/>
              </w:rPr>
            </w:pPr>
            <w:r w:rsidRPr="00334129">
              <w:rPr>
                <w:lang w:eastAsia="en-US"/>
              </w:rPr>
              <w:t>0</w:t>
            </w:r>
          </w:p>
        </w:tc>
        <w:tc>
          <w:tcPr>
            <w:tcW w:w="1018" w:type="dxa"/>
            <w:shd w:val="clear" w:color="auto" w:fill="auto"/>
            <w:vAlign w:val="center"/>
            <w:hideMark/>
          </w:tcPr>
          <w:p w14:paraId="42B6705F" w14:textId="16484661" w:rsidR="00B21016" w:rsidRPr="00E4466E" w:rsidRDefault="00844553" w:rsidP="00E4466E">
            <w:pPr>
              <w:keepNext/>
              <w:ind w:left="-27" w:right="-4"/>
              <w:jc w:val="center"/>
              <w:rPr>
                <w:sz w:val="22"/>
                <w:szCs w:val="22"/>
                <w:lang w:eastAsia="en-US"/>
              </w:rPr>
            </w:pPr>
            <w:r w:rsidRPr="00844553">
              <w:rPr>
                <w:sz w:val="22"/>
                <w:szCs w:val="22"/>
                <w:lang w:eastAsia="en-US"/>
              </w:rPr>
              <w:t>12 203 316</w:t>
            </w:r>
          </w:p>
        </w:tc>
        <w:tc>
          <w:tcPr>
            <w:tcW w:w="992" w:type="dxa"/>
            <w:shd w:val="clear" w:color="auto" w:fill="auto"/>
            <w:vAlign w:val="center"/>
            <w:hideMark/>
          </w:tcPr>
          <w:p w14:paraId="6C01D363" w14:textId="1916BE2C" w:rsidR="00B21016" w:rsidRPr="006A2A54" w:rsidRDefault="009E0ECB" w:rsidP="00B21016">
            <w:pPr>
              <w:keepNext/>
              <w:jc w:val="center"/>
              <w:rPr>
                <w:lang w:eastAsia="en-US"/>
              </w:rPr>
            </w:pPr>
            <w:r>
              <w:rPr>
                <w:lang w:eastAsia="en-US"/>
              </w:rPr>
              <w:t>0</w:t>
            </w:r>
          </w:p>
        </w:tc>
        <w:tc>
          <w:tcPr>
            <w:tcW w:w="1109" w:type="dxa"/>
            <w:shd w:val="clear" w:color="auto" w:fill="auto"/>
            <w:vAlign w:val="center"/>
            <w:hideMark/>
          </w:tcPr>
          <w:p w14:paraId="1D1765DE" w14:textId="6978B698" w:rsidR="00B21016" w:rsidRPr="006A2A54" w:rsidRDefault="00E4466E" w:rsidP="00B21016">
            <w:pPr>
              <w:keepNext/>
              <w:jc w:val="center"/>
              <w:rPr>
                <w:lang w:eastAsia="en-US"/>
              </w:rPr>
            </w:pPr>
            <w:r w:rsidRPr="00E4466E">
              <w:rPr>
                <w:sz w:val="22"/>
                <w:szCs w:val="22"/>
                <w:lang w:eastAsia="en-US"/>
              </w:rPr>
              <w:t>12</w:t>
            </w:r>
            <w:r>
              <w:rPr>
                <w:sz w:val="22"/>
                <w:szCs w:val="22"/>
                <w:lang w:eastAsia="en-US"/>
              </w:rPr>
              <w:t> </w:t>
            </w:r>
            <w:r w:rsidRPr="00E4466E">
              <w:rPr>
                <w:sz w:val="22"/>
                <w:szCs w:val="22"/>
                <w:lang w:eastAsia="en-US"/>
              </w:rPr>
              <w:t>203</w:t>
            </w:r>
            <w:r>
              <w:rPr>
                <w:sz w:val="22"/>
                <w:szCs w:val="22"/>
                <w:lang w:eastAsia="en-US"/>
              </w:rPr>
              <w:t xml:space="preserve"> </w:t>
            </w:r>
            <w:r w:rsidRPr="00E4466E">
              <w:rPr>
                <w:sz w:val="22"/>
                <w:szCs w:val="22"/>
                <w:lang w:eastAsia="en-US"/>
              </w:rPr>
              <w:t>316</w:t>
            </w:r>
          </w:p>
        </w:tc>
        <w:tc>
          <w:tcPr>
            <w:tcW w:w="1105" w:type="dxa"/>
            <w:shd w:val="clear" w:color="auto" w:fill="auto"/>
            <w:vAlign w:val="center"/>
            <w:hideMark/>
          </w:tcPr>
          <w:p w14:paraId="25ABB484" w14:textId="5CB38DA2" w:rsidR="00B21016" w:rsidRPr="006A2A54" w:rsidRDefault="009E0ECB" w:rsidP="00B21016">
            <w:pPr>
              <w:keepNext/>
              <w:jc w:val="center"/>
              <w:rPr>
                <w:lang w:eastAsia="en-US"/>
              </w:rPr>
            </w:pPr>
            <w:r>
              <w:rPr>
                <w:lang w:eastAsia="en-US"/>
              </w:rPr>
              <w:t>0</w:t>
            </w:r>
          </w:p>
        </w:tc>
        <w:tc>
          <w:tcPr>
            <w:tcW w:w="1176" w:type="dxa"/>
            <w:shd w:val="clear" w:color="auto" w:fill="auto"/>
            <w:vAlign w:val="center"/>
            <w:hideMark/>
          </w:tcPr>
          <w:p w14:paraId="4738EEA4" w14:textId="6F4D788F" w:rsidR="00B21016" w:rsidRPr="006A2A54" w:rsidRDefault="009E0ECB" w:rsidP="00B21016">
            <w:pPr>
              <w:keepNext/>
              <w:jc w:val="center"/>
              <w:rPr>
                <w:lang w:eastAsia="en-US"/>
              </w:rPr>
            </w:pPr>
            <w:r>
              <w:rPr>
                <w:lang w:eastAsia="en-US"/>
              </w:rPr>
              <w:t>0</w:t>
            </w:r>
          </w:p>
        </w:tc>
      </w:tr>
      <w:tr w:rsidR="00B21016" w:rsidRPr="006A2A54" w14:paraId="7013ED33" w14:textId="77777777" w:rsidTr="00455C9D">
        <w:tc>
          <w:tcPr>
            <w:tcW w:w="1972" w:type="dxa"/>
            <w:shd w:val="clear" w:color="auto" w:fill="auto"/>
            <w:hideMark/>
          </w:tcPr>
          <w:p w14:paraId="0958280D" w14:textId="77777777" w:rsidR="00B21016" w:rsidRPr="006A2A54" w:rsidRDefault="00B21016" w:rsidP="00B21016">
            <w:pPr>
              <w:keepNext/>
              <w:rPr>
                <w:lang w:eastAsia="en-US"/>
              </w:rPr>
            </w:pPr>
            <w:r w:rsidRPr="006A2A54">
              <w:rPr>
                <w:lang w:eastAsia="en-US"/>
              </w:rPr>
              <w:t>2.1. valsts pamatbudžets</w:t>
            </w:r>
          </w:p>
        </w:tc>
        <w:tc>
          <w:tcPr>
            <w:tcW w:w="1144" w:type="dxa"/>
            <w:shd w:val="clear" w:color="auto" w:fill="auto"/>
            <w:vAlign w:val="center"/>
            <w:hideMark/>
          </w:tcPr>
          <w:p w14:paraId="160521EA" w14:textId="4606D19B" w:rsidR="00B21016" w:rsidRPr="00334129" w:rsidRDefault="00455C9D" w:rsidP="00B21016">
            <w:pPr>
              <w:keepNext/>
              <w:jc w:val="center"/>
              <w:rPr>
                <w:lang w:eastAsia="en-US"/>
              </w:rPr>
            </w:pPr>
            <w:r w:rsidRPr="00334129">
              <w:rPr>
                <w:sz w:val="22"/>
                <w:szCs w:val="22"/>
                <w:lang w:eastAsia="en-US"/>
              </w:rPr>
              <w:t>11 852 196</w:t>
            </w:r>
          </w:p>
        </w:tc>
        <w:tc>
          <w:tcPr>
            <w:tcW w:w="1008" w:type="dxa"/>
            <w:shd w:val="clear" w:color="auto" w:fill="auto"/>
            <w:vAlign w:val="center"/>
            <w:hideMark/>
          </w:tcPr>
          <w:p w14:paraId="5DF2C168" w14:textId="4B982F02" w:rsidR="00B21016" w:rsidRPr="00334129" w:rsidRDefault="009E0ECB" w:rsidP="00B21016">
            <w:pPr>
              <w:keepNext/>
              <w:jc w:val="center"/>
              <w:rPr>
                <w:lang w:eastAsia="en-US"/>
              </w:rPr>
            </w:pPr>
            <w:r w:rsidRPr="00334129">
              <w:rPr>
                <w:lang w:eastAsia="en-US"/>
              </w:rPr>
              <w:t>0</w:t>
            </w:r>
          </w:p>
        </w:tc>
        <w:tc>
          <w:tcPr>
            <w:tcW w:w="1018" w:type="dxa"/>
            <w:shd w:val="clear" w:color="auto" w:fill="auto"/>
            <w:vAlign w:val="center"/>
            <w:hideMark/>
          </w:tcPr>
          <w:p w14:paraId="44F2A3D9" w14:textId="40BCE140" w:rsidR="00B21016" w:rsidRPr="00E4466E" w:rsidRDefault="00844553" w:rsidP="00E4466E">
            <w:pPr>
              <w:keepNext/>
              <w:ind w:left="-27" w:right="-4"/>
              <w:jc w:val="center"/>
              <w:rPr>
                <w:sz w:val="22"/>
                <w:szCs w:val="22"/>
                <w:lang w:eastAsia="en-US"/>
              </w:rPr>
            </w:pPr>
            <w:r w:rsidRPr="00844553">
              <w:rPr>
                <w:sz w:val="22"/>
                <w:szCs w:val="22"/>
                <w:lang w:eastAsia="en-US"/>
              </w:rPr>
              <w:t>12 203 316</w:t>
            </w:r>
          </w:p>
        </w:tc>
        <w:tc>
          <w:tcPr>
            <w:tcW w:w="992" w:type="dxa"/>
            <w:shd w:val="clear" w:color="auto" w:fill="auto"/>
            <w:vAlign w:val="center"/>
            <w:hideMark/>
          </w:tcPr>
          <w:p w14:paraId="2B849958" w14:textId="0EB38C36" w:rsidR="00B21016" w:rsidRPr="006A2A54" w:rsidRDefault="009E0ECB" w:rsidP="00B21016">
            <w:pPr>
              <w:keepNext/>
              <w:jc w:val="center"/>
              <w:rPr>
                <w:lang w:eastAsia="en-US"/>
              </w:rPr>
            </w:pPr>
            <w:r>
              <w:rPr>
                <w:lang w:eastAsia="en-US"/>
              </w:rPr>
              <w:t>0</w:t>
            </w:r>
          </w:p>
        </w:tc>
        <w:tc>
          <w:tcPr>
            <w:tcW w:w="1109" w:type="dxa"/>
            <w:shd w:val="clear" w:color="auto" w:fill="auto"/>
            <w:vAlign w:val="center"/>
            <w:hideMark/>
          </w:tcPr>
          <w:p w14:paraId="18FB92D2" w14:textId="7D3E83C0" w:rsidR="00B21016" w:rsidRPr="006A2A54" w:rsidRDefault="00E4466E" w:rsidP="00B21016">
            <w:pPr>
              <w:keepNext/>
              <w:jc w:val="center"/>
              <w:rPr>
                <w:lang w:eastAsia="en-US"/>
              </w:rPr>
            </w:pPr>
            <w:r w:rsidRPr="00E4466E">
              <w:rPr>
                <w:sz w:val="22"/>
                <w:szCs w:val="22"/>
                <w:lang w:eastAsia="en-US"/>
              </w:rPr>
              <w:t>12</w:t>
            </w:r>
            <w:r>
              <w:rPr>
                <w:sz w:val="22"/>
                <w:szCs w:val="22"/>
                <w:lang w:eastAsia="en-US"/>
              </w:rPr>
              <w:t> </w:t>
            </w:r>
            <w:r w:rsidRPr="00E4466E">
              <w:rPr>
                <w:sz w:val="22"/>
                <w:szCs w:val="22"/>
                <w:lang w:eastAsia="en-US"/>
              </w:rPr>
              <w:t>203</w:t>
            </w:r>
            <w:r>
              <w:rPr>
                <w:sz w:val="22"/>
                <w:szCs w:val="22"/>
                <w:lang w:eastAsia="en-US"/>
              </w:rPr>
              <w:t xml:space="preserve"> </w:t>
            </w:r>
            <w:r w:rsidRPr="00E4466E">
              <w:rPr>
                <w:sz w:val="22"/>
                <w:szCs w:val="22"/>
                <w:lang w:eastAsia="en-US"/>
              </w:rPr>
              <w:t>316</w:t>
            </w:r>
          </w:p>
        </w:tc>
        <w:tc>
          <w:tcPr>
            <w:tcW w:w="1105" w:type="dxa"/>
            <w:shd w:val="clear" w:color="auto" w:fill="auto"/>
            <w:vAlign w:val="center"/>
            <w:hideMark/>
          </w:tcPr>
          <w:p w14:paraId="063C5191" w14:textId="2E2910F3" w:rsidR="00B21016" w:rsidRPr="006A2A54" w:rsidRDefault="009E0ECB" w:rsidP="00B21016">
            <w:pPr>
              <w:keepNext/>
              <w:jc w:val="center"/>
              <w:rPr>
                <w:lang w:eastAsia="en-US"/>
              </w:rPr>
            </w:pPr>
            <w:r>
              <w:rPr>
                <w:lang w:eastAsia="en-US"/>
              </w:rPr>
              <w:t>0</w:t>
            </w:r>
          </w:p>
        </w:tc>
        <w:tc>
          <w:tcPr>
            <w:tcW w:w="1176" w:type="dxa"/>
            <w:shd w:val="clear" w:color="auto" w:fill="auto"/>
            <w:vAlign w:val="center"/>
            <w:hideMark/>
          </w:tcPr>
          <w:p w14:paraId="5311E1E5" w14:textId="0A16F7B2" w:rsidR="00B21016" w:rsidRPr="006A2A54" w:rsidRDefault="009E0ECB" w:rsidP="00B21016">
            <w:pPr>
              <w:keepNext/>
              <w:jc w:val="center"/>
              <w:rPr>
                <w:lang w:eastAsia="en-US"/>
              </w:rPr>
            </w:pPr>
            <w:r>
              <w:rPr>
                <w:lang w:eastAsia="en-US"/>
              </w:rPr>
              <w:t>0</w:t>
            </w:r>
          </w:p>
        </w:tc>
      </w:tr>
      <w:tr w:rsidR="00B21016" w:rsidRPr="006A2A54" w14:paraId="78B3A29A" w14:textId="77777777" w:rsidTr="00455C9D">
        <w:tc>
          <w:tcPr>
            <w:tcW w:w="1972" w:type="dxa"/>
            <w:shd w:val="clear" w:color="auto" w:fill="auto"/>
            <w:hideMark/>
          </w:tcPr>
          <w:p w14:paraId="477FA3A8" w14:textId="77777777" w:rsidR="00B21016" w:rsidRPr="006A2A54" w:rsidRDefault="00B21016" w:rsidP="00B21016">
            <w:pPr>
              <w:keepNext/>
              <w:rPr>
                <w:lang w:eastAsia="en-US"/>
              </w:rPr>
            </w:pPr>
            <w:r w:rsidRPr="006A2A54">
              <w:rPr>
                <w:lang w:eastAsia="en-US"/>
              </w:rPr>
              <w:t>2.2. valsts speciālais budžets</w:t>
            </w:r>
          </w:p>
        </w:tc>
        <w:tc>
          <w:tcPr>
            <w:tcW w:w="1144" w:type="dxa"/>
            <w:shd w:val="clear" w:color="auto" w:fill="auto"/>
            <w:vAlign w:val="center"/>
            <w:hideMark/>
          </w:tcPr>
          <w:p w14:paraId="06B62DB1" w14:textId="285047CE" w:rsidR="00B21016" w:rsidRPr="006A2A54" w:rsidRDefault="009E0ECB" w:rsidP="00B21016">
            <w:pPr>
              <w:keepNext/>
              <w:jc w:val="center"/>
              <w:rPr>
                <w:lang w:eastAsia="en-US"/>
              </w:rPr>
            </w:pPr>
            <w:r>
              <w:rPr>
                <w:lang w:eastAsia="en-US"/>
              </w:rPr>
              <w:t>0</w:t>
            </w:r>
          </w:p>
        </w:tc>
        <w:tc>
          <w:tcPr>
            <w:tcW w:w="1008" w:type="dxa"/>
            <w:shd w:val="clear" w:color="auto" w:fill="auto"/>
            <w:vAlign w:val="center"/>
            <w:hideMark/>
          </w:tcPr>
          <w:p w14:paraId="1603819F" w14:textId="2ADF68C7" w:rsidR="00B21016" w:rsidRPr="006A2A54" w:rsidRDefault="009E0ECB" w:rsidP="00B21016">
            <w:pPr>
              <w:keepNext/>
              <w:jc w:val="center"/>
              <w:rPr>
                <w:lang w:eastAsia="en-US"/>
              </w:rPr>
            </w:pPr>
            <w:r>
              <w:rPr>
                <w:lang w:eastAsia="en-US"/>
              </w:rPr>
              <w:t>0</w:t>
            </w:r>
          </w:p>
        </w:tc>
        <w:tc>
          <w:tcPr>
            <w:tcW w:w="1018" w:type="dxa"/>
            <w:shd w:val="clear" w:color="auto" w:fill="auto"/>
            <w:vAlign w:val="center"/>
            <w:hideMark/>
          </w:tcPr>
          <w:p w14:paraId="1F906B95" w14:textId="57C363F2" w:rsidR="00B21016" w:rsidRPr="006A2A54" w:rsidRDefault="009E0ECB" w:rsidP="00B21016">
            <w:pPr>
              <w:keepNext/>
              <w:jc w:val="center"/>
              <w:rPr>
                <w:lang w:eastAsia="en-US"/>
              </w:rPr>
            </w:pPr>
            <w:r>
              <w:rPr>
                <w:lang w:eastAsia="en-US"/>
              </w:rPr>
              <w:t>0</w:t>
            </w:r>
          </w:p>
        </w:tc>
        <w:tc>
          <w:tcPr>
            <w:tcW w:w="992" w:type="dxa"/>
            <w:shd w:val="clear" w:color="auto" w:fill="auto"/>
            <w:vAlign w:val="center"/>
            <w:hideMark/>
          </w:tcPr>
          <w:p w14:paraId="027BFD2A" w14:textId="7DDE29F4" w:rsidR="00B21016" w:rsidRPr="006A2A54" w:rsidRDefault="009E0ECB" w:rsidP="00B21016">
            <w:pPr>
              <w:keepNext/>
              <w:jc w:val="center"/>
              <w:rPr>
                <w:lang w:eastAsia="en-US"/>
              </w:rPr>
            </w:pPr>
            <w:r>
              <w:rPr>
                <w:lang w:eastAsia="en-US"/>
              </w:rPr>
              <w:t>0</w:t>
            </w:r>
          </w:p>
        </w:tc>
        <w:tc>
          <w:tcPr>
            <w:tcW w:w="1109" w:type="dxa"/>
            <w:shd w:val="clear" w:color="auto" w:fill="auto"/>
            <w:vAlign w:val="center"/>
            <w:hideMark/>
          </w:tcPr>
          <w:p w14:paraId="69ABD30D" w14:textId="4EFC7D2F" w:rsidR="00B21016" w:rsidRPr="006A2A54" w:rsidRDefault="009E0ECB" w:rsidP="00B21016">
            <w:pPr>
              <w:keepNext/>
              <w:jc w:val="center"/>
              <w:rPr>
                <w:lang w:eastAsia="en-US"/>
              </w:rPr>
            </w:pPr>
            <w:r>
              <w:rPr>
                <w:lang w:eastAsia="en-US"/>
              </w:rPr>
              <w:t>0</w:t>
            </w:r>
          </w:p>
        </w:tc>
        <w:tc>
          <w:tcPr>
            <w:tcW w:w="1105" w:type="dxa"/>
            <w:shd w:val="clear" w:color="auto" w:fill="auto"/>
            <w:vAlign w:val="center"/>
            <w:hideMark/>
          </w:tcPr>
          <w:p w14:paraId="7FCC8CA9" w14:textId="475B648B" w:rsidR="00B21016" w:rsidRPr="006A2A54" w:rsidRDefault="009E0ECB" w:rsidP="00B21016">
            <w:pPr>
              <w:keepNext/>
              <w:jc w:val="center"/>
              <w:rPr>
                <w:lang w:eastAsia="en-US"/>
              </w:rPr>
            </w:pPr>
            <w:r>
              <w:rPr>
                <w:lang w:eastAsia="en-US"/>
              </w:rPr>
              <w:t>0</w:t>
            </w:r>
          </w:p>
        </w:tc>
        <w:tc>
          <w:tcPr>
            <w:tcW w:w="1176" w:type="dxa"/>
            <w:shd w:val="clear" w:color="auto" w:fill="auto"/>
            <w:vAlign w:val="center"/>
            <w:hideMark/>
          </w:tcPr>
          <w:p w14:paraId="653D38A9" w14:textId="182CF4A0" w:rsidR="00B21016" w:rsidRPr="006A2A54" w:rsidRDefault="009E0ECB" w:rsidP="00B21016">
            <w:pPr>
              <w:keepNext/>
              <w:jc w:val="center"/>
              <w:rPr>
                <w:lang w:eastAsia="en-US"/>
              </w:rPr>
            </w:pPr>
            <w:r>
              <w:rPr>
                <w:lang w:eastAsia="en-US"/>
              </w:rPr>
              <w:t>0</w:t>
            </w:r>
          </w:p>
        </w:tc>
      </w:tr>
      <w:tr w:rsidR="00B21016" w:rsidRPr="006A2A54" w14:paraId="3626772E" w14:textId="77777777" w:rsidTr="00455C9D">
        <w:tc>
          <w:tcPr>
            <w:tcW w:w="1972" w:type="dxa"/>
            <w:shd w:val="clear" w:color="auto" w:fill="auto"/>
            <w:hideMark/>
          </w:tcPr>
          <w:p w14:paraId="1E71EDC6" w14:textId="77777777" w:rsidR="00B21016" w:rsidRPr="006A2A54" w:rsidRDefault="00B21016" w:rsidP="00B21016">
            <w:pPr>
              <w:keepNext/>
              <w:rPr>
                <w:lang w:eastAsia="en-US"/>
              </w:rPr>
            </w:pPr>
            <w:r w:rsidRPr="006A2A54">
              <w:rPr>
                <w:lang w:eastAsia="en-US"/>
              </w:rPr>
              <w:t>2.3. pašvaldību budžets</w:t>
            </w:r>
          </w:p>
        </w:tc>
        <w:tc>
          <w:tcPr>
            <w:tcW w:w="1144" w:type="dxa"/>
            <w:shd w:val="clear" w:color="auto" w:fill="auto"/>
            <w:vAlign w:val="center"/>
            <w:hideMark/>
          </w:tcPr>
          <w:p w14:paraId="13BB9A47" w14:textId="59F67733" w:rsidR="00B21016" w:rsidRPr="006A2A54" w:rsidRDefault="00A11521" w:rsidP="00B21016">
            <w:pPr>
              <w:keepNext/>
              <w:jc w:val="center"/>
              <w:rPr>
                <w:lang w:eastAsia="en-US"/>
              </w:rPr>
            </w:pPr>
            <w:r>
              <w:rPr>
                <w:lang w:eastAsia="en-US"/>
              </w:rPr>
              <w:t>0</w:t>
            </w:r>
          </w:p>
        </w:tc>
        <w:tc>
          <w:tcPr>
            <w:tcW w:w="1008" w:type="dxa"/>
            <w:shd w:val="clear" w:color="auto" w:fill="auto"/>
            <w:vAlign w:val="center"/>
            <w:hideMark/>
          </w:tcPr>
          <w:p w14:paraId="1F1A4500" w14:textId="5F47B88A" w:rsidR="00B21016" w:rsidRPr="006A2A54" w:rsidRDefault="00A11521" w:rsidP="00B21016">
            <w:pPr>
              <w:keepNext/>
              <w:jc w:val="center"/>
              <w:rPr>
                <w:lang w:eastAsia="en-US"/>
              </w:rPr>
            </w:pPr>
            <w:r>
              <w:rPr>
                <w:lang w:eastAsia="en-US"/>
              </w:rPr>
              <w:t>0</w:t>
            </w:r>
          </w:p>
        </w:tc>
        <w:tc>
          <w:tcPr>
            <w:tcW w:w="1018" w:type="dxa"/>
            <w:shd w:val="clear" w:color="auto" w:fill="auto"/>
            <w:vAlign w:val="center"/>
            <w:hideMark/>
          </w:tcPr>
          <w:p w14:paraId="4DD5D51C" w14:textId="5D7F7E3E" w:rsidR="00B21016" w:rsidRPr="006A2A54" w:rsidRDefault="00A11521" w:rsidP="00B21016">
            <w:pPr>
              <w:keepNext/>
              <w:jc w:val="center"/>
              <w:rPr>
                <w:lang w:eastAsia="en-US"/>
              </w:rPr>
            </w:pPr>
            <w:r>
              <w:rPr>
                <w:lang w:eastAsia="en-US"/>
              </w:rPr>
              <w:t>0</w:t>
            </w:r>
          </w:p>
        </w:tc>
        <w:tc>
          <w:tcPr>
            <w:tcW w:w="992" w:type="dxa"/>
            <w:shd w:val="clear" w:color="auto" w:fill="auto"/>
            <w:vAlign w:val="center"/>
            <w:hideMark/>
          </w:tcPr>
          <w:p w14:paraId="1F5D7149" w14:textId="7F1AF0E1" w:rsidR="00B21016" w:rsidRPr="006A2A54" w:rsidRDefault="00A11521" w:rsidP="00B21016">
            <w:pPr>
              <w:keepNext/>
              <w:jc w:val="center"/>
              <w:rPr>
                <w:lang w:eastAsia="en-US"/>
              </w:rPr>
            </w:pPr>
            <w:r>
              <w:rPr>
                <w:lang w:eastAsia="en-US"/>
              </w:rPr>
              <w:t>0</w:t>
            </w:r>
          </w:p>
        </w:tc>
        <w:tc>
          <w:tcPr>
            <w:tcW w:w="1109" w:type="dxa"/>
            <w:shd w:val="clear" w:color="auto" w:fill="auto"/>
            <w:vAlign w:val="center"/>
            <w:hideMark/>
          </w:tcPr>
          <w:p w14:paraId="5ECFB663" w14:textId="4797D835" w:rsidR="00B21016" w:rsidRPr="006A2A54" w:rsidRDefault="00A11521" w:rsidP="00B21016">
            <w:pPr>
              <w:keepNext/>
              <w:jc w:val="center"/>
              <w:rPr>
                <w:lang w:eastAsia="en-US"/>
              </w:rPr>
            </w:pPr>
            <w:r>
              <w:rPr>
                <w:lang w:eastAsia="en-US"/>
              </w:rPr>
              <w:t>0</w:t>
            </w:r>
          </w:p>
        </w:tc>
        <w:tc>
          <w:tcPr>
            <w:tcW w:w="1105" w:type="dxa"/>
            <w:shd w:val="clear" w:color="auto" w:fill="auto"/>
            <w:vAlign w:val="center"/>
            <w:hideMark/>
          </w:tcPr>
          <w:p w14:paraId="6194EEFF" w14:textId="274E3575" w:rsidR="00B21016" w:rsidRPr="006A2A54" w:rsidRDefault="00A11521" w:rsidP="00B21016">
            <w:pPr>
              <w:keepNext/>
              <w:jc w:val="center"/>
              <w:rPr>
                <w:lang w:eastAsia="en-US"/>
              </w:rPr>
            </w:pPr>
            <w:r>
              <w:rPr>
                <w:lang w:eastAsia="en-US"/>
              </w:rPr>
              <w:t>0</w:t>
            </w:r>
          </w:p>
        </w:tc>
        <w:tc>
          <w:tcPr>
            <w:tcW w:w="1176" w:type="dxa"/>
            <w:shd w:val="clear" w:color="auto" w:fill="auto"/>
            <w:vAlign w:val="center"/>
            <w:hideMark/>
          </w:tcPr>
          <w:p w14:paraId="29A19038" w14:textId="7E6598ED" w:rsidR="00B21016" w:rsidRPr="006A2A54" w:rsidRDefault="00A11521" w:rsidP="00B21016">
            <w:pPr>
              <w:keepNext/>
              <w:jc w:val="center"/>
              <w:rPr>
                <w:lang w:eastAsia="en-US"/>
              </w:rPr>
            </w:pPr>
            <w:r>
              <w:rPr>
                <w:lang w:eastAsia="en-US"/>
              </w:rPr>
              <w:t>0</w:t>
            </w:r>
          </w:p>
        </w:tc>
      </w:tr>
      <w:tr w:rsidR="00B21016" w:rsidRPr="006A2A54" w14:paraId="19047681" w14:textId="77777777" w:rsidTr="00455C9D">
        <w:tc>
          <w:tcPr>
            <w:tcW w:w="1972" w:type="dxa"/>
            <w:shd w:val="clear" w:color="auto" w:fill="auto"/>
            <w:hideMark/>
          </w:tcPr>
          <w:p w14:paraId="7CB6FA72" w14:textId="77777777" w:rsidR="00B21016" w:rsidRPr="006A2A54" w:rsidRDefault="00B21016" w:rsidP="00B21016">
            <w:pPr>
              <w:keepNext/>
              <w:rPr>
                <w:lang w:eastAsia="en-US"/>
              </w:rPr>
            </w:pPr>
            <w:r w:rsidRPr="006A2A54">
              <w:rPr>
                <w:lang w:eastAsia="en-US"/>
              </w:rPr>
              <w:t>3. Finansiālā ietekme</w:t>
            </w:r>
          </w:p>
        </w:tc>
        <w:tc>
          <w:tcPr>
            <w:tcW w:w="1144" w:type="dxa"/>
            <w:shd w:val="clear" w:color="auto" w:fill="auto"/>
            <w:vAlign w:val="center"/>
            <w:hideMark/>
          </w:tcPr>
          <w:p w14:paraId="12B2E658" w14:textId="1AA8AA9F" w:rsidR="00B21016" w:rsidRPr="006A2A54" w:rsidRDefault="00A11521" w:rsidP="00B21016">
            <w:pPr>
              <w:keepNext/>
              <w:jc w:val="center"/>
              <w:rPr>
                <w:lang w:eastAsia="en-US"/>
              </w:rPr>
            </w:pPr>
            <w:r>
              <w:rPr>
                <w:lang w:eastAsia="en-US"/>
              </w:rPr>
              <w:t>0</w:t>
            </w:r>
          </w:p>
        </w:tc>
        <w:tc>
          <w:tcPr>
            <w:tcW w:w="1008" w:type="dxa"/>
            <w:shd w:val="clear" w:color="auto" w:fill="auto"/>
            <w:vAlign w:val="center"/>
            <w:hideMark/>
          </w:tcPr>
          <w:p w14:paraId="743B8C6A" w14:textId="53A6463D" w:rsidR="00B21016" w:rsidRPr="006A2A54" w:rsidRDefault="00A11521" w:rsidP="00B21016">
            <w:pPr>
              <w:keepNext/>
              <w:jc w:val="center"/>
              <w:rPr>
                <w:lang w:eastAsia="en-US"/>
              </w:rPr>
            </w:pPr>
            <w:r>
              <w:rPr>
                <w:lang w:eastAsia="en-US"/>
              </w:rPr>
              <w:t>0</w:t>
            </w:r>
          </w:p>
        </w:tc>
        <w:tc>
          <w:tcPr>
            <w:tcW w:w="1018" w:type="dxa"/>
            <w:shd w:val="clear" w:color="auto" w:fill="auto"/>
            <w:vAlign w:val="center"/>
            <w:hideMark/>
          </w:tcPr>
          <w:p w14:paraId="2B86C588" w14:textId="2CE18002" w:rsidR="00B21016" w:rsidRPr="006A2A54" w:rsidRDefault="00A11521" w:rsidP="00B21016">
            <w:pPr>
              <w:keepNext/>
              <w:jc w:val="center"/>
              <w:rPr>
                <w:lang w:eastAsia="en-US"/>
              </w:rPr>
            </w:pPr>
            <w:r>
              <w:rPr>
                <w:lang w:eastAsia="en-US"/>
              </w:rPr>
              <w:t>0</w:t>
            </w:r>
          </w:p>
        </w:tc>
        <w:tc>
          <w:tcPr>
            <w:tcW w:w="992" w:type="dxa"/>
            <w:shd w:val="clear" w:color="auto" w:fill="auto"/>
            <w:vAlign w:val="center"/>
            <w:hideMark/>
          </w:tcPr>
          <w:p w14:paraId="6C54B22B" w14:textId="61F88B24" w:rsidR="00B21016" w:rsidRPr="006A2A54" w:rsidRDefault="00A11521" w:rsidP="00B21016">
            <w:pPr>
              <w:keepNext/>
              <w:jc w:val="center"/>
              <w:rPr>
                <w:lang w:eastAsia="en-US"/>
              </w:rPr>
            </w:pPr>
            <w:r>
              <w:rPr>
                <w:lang w:eastAsia="en-US"/>
              </w:rPr>
              <w:t>0</w:t>
            </w:r>
          </w:p>
        </w:tc>
        <w:tc>
          <w:tcPr>
            <w:tcW w:w="1109" w:type="dxa"/>
            <w:shd w:val="clear" w:color="auto" w:fill="auto"/>
            <w:vAlign w:val="center"/>
            <w:hideMark/>
          </w:tcPr>
          <w:p w14:paraId="08440B91" w14:textId="16FEC9AF" w:rsidR="00B21016" w:rsidRPr="006A2A54" w:rsidRDefault="00A11521" w:rsidP="00B21016">
            <w:pPr>
              <w:keepNext/>
              <w:jc w:val="center"/>
              <w:rPr>
                <w:lang w:eastAsia="en-US"/>
              </w:rPr>
            </w:pPr>
            <w:r>
              <w:rPr>
                <w:lang w:eastAsia="en-US"/>
              </w:rPr>
              <w:t>0</w:t>
            </w:r>
          </w:p>
        </w:tc>
        <w:tc>
          <w:tcPr>
            <w:tcW w:w="1105" w:type="dxa"/>
            <w:shd w:val="clear" w:color="auto" w:fill="auto"/>
            <w:vAlign w:val="center"/>
            <w:hideMark/>
          </w:tcPr>
          <w:p w14:paraId="357C7B8A" w14:textId="478BFDBD" w:rsidR="00B21016" w:rsidRPr="006A2A54" w:rsidRDefault="00A11521" w:rsidP="00B21016">
            <w:pPr>
              <w:keepNext/>
              <w:jc w:val="center"/>
              <w:rPr>
                <w:lang w:eastAsia="en-US"/>
              </w:rPr>
            </w:pPr>
            <w:r>
              <w:rPr>
                <w:lang w:eastAsia="en-US"/>
              </w:rPr>
              <w:t>0</w:t>
            </w:r>
          </w:p>
        </w:tc>
        <w:tc>
          <w:tcPr>
            <w:tcW w:w="1176" w:type="dxa"/>
            <w:shd w:val="clear" w:color="auto" w:fill="auto"/>
            <w:vAlign w:val="center"/>
            <w:hideMark/>
          </w:tcPr>
          <w:p w14:paraId="039C2A03" w14:textId="60921A38" w:rsidR="00B21016" w:rsidRPr="006A2A54" w:rsidRDefault="00A11521" w:rsidP="00B21016">
            <w:pPr>
              <w:keepNext/>
              <w:jc w:val="center"/>
              <w:rPr>
                <w:lang w:eastAsia="en-US"/>
              </w:rPr>
            </w:pPr>
            <w:r>
              <w:rPr>
                <w:lang w:eastAsia="en-US"/>
              </w:rPr>
              <w:t>0</w:t>
            </w:r>
          </w:p>
        </w:tc>
      </w:tr>
      <w:tr w:rsidR="00B21016" w:rsidRPr="006A2A54" w14:paraId="450ECBA5" w14:textId="77777777" w:rsidTr="00455C9D">
        <w:tc>
          <w:tcPr>
            <w:tcW w:w="1972" w:type="dxa"/>
            <w:shd w:val="clear" w:color="auto" w:fill="auto"/>
            <w:hideMark/>
          </w:tcPr>
          <w:p w14:paraId="5B42FC4B" w14:textId="77777777" w:rsidR="00B21016" w:rsidRPr="006A2A54" w:rsidRDefault="00B21016" w:rsidP="00B21016">
            <w:pPr>
              <w:keepNext/>
              <w:rPr>
                <w:lang w:eastAsia="en-US"/>
              </w:rPr>
            </w:pPr>
            <w:r w:rsidRPr="006A2A54">
              <w:rPr>
                <w:lang w:eastAsia="en-US"/>
              </w:rPr>
              <w:t>3.1. valsts pamatbudžets</w:t>
            </w:r>
          </w:p>
        </w:tc>
        <w:tc>
          <w:tcPr>
            <w:tcW w:w="1144" w:type="dxa"/>
            <w:shd w:val="clear" w:color="auto" w:fill="auto"/>
            <w:vAlign w:val="center"/>
            <w:hideMark/>
          </w:tcPr>
          <w:p w14:paraId="33D5A363" w14:textId="1369FF10" w:rsidR="00B21016" w:rsidRPr="006A2A54" w:rsidRDefault="00A11521" w:rsidP="00B21016">
            <w:pPr>
              <w:keepNext/>
              <w:jc w:val="center"/>
              <w:rPr>
                <w:lang w:eastAsia="en-US"/>
              </w:rPr>
            </w:pPr>
            <w:r>
              <w:rPr>
                <w:lang w:eastAsia="en-US"/>
              </w:rPr>
              <w:t>0</w:t>
            </w:r>
          </w:p>
        </w:tc>
        <w:tc>
          <w:tcPr>
            <w:tcW w:w="1008" w:type="dxa"/>
            <w:shd w:val="clear" w:color="auto" w:fill="auto"/>
            <w:vAlign w:val="center"/>
            <w:hideMark/>
          </w:tcPr>
          <w:p w14:paraId="25E9D426" w14:textId="412A6B7A" w:rsidR="00B21016" w:rsidRPr="006A2A54" w:rsidRDefault="00A11521" w:rsidP="00B21016">
            <w:pPr>
              <w:keepNext/>
              <w:jc w:val="center"/>
              <w:rPr>
                <w:lang w:eastAsia="en-US"/>
              </w:rPr>
            </w:pPr>
            <w:r>
              <w:rPr>
                <w:lang w:eastAsia="en-US"/>
              </w:rPr>
              <w:t>0</w:t>
            </w:r>
          </w:p>
        </w:tc>
        <w:tc>
          <w:tcPr>
            <w:tcW w:w="1018" w:type="dxa"/>
            <w:shd w:val="clear" w:color="auto" w:fill="auto"/>
            <w:vAlign w:val="center"/>
            <w:hideMark/>
          </w:tcPr>
          <w:p w14:paraId="167C7EB6" w14:textId="7A8E539B" w:rsidR="00B21016" w:rsidRPr="006A2A54" w:rsidRDefault="00A11521" w:rsidP="00B21016">
            <w:pPr>
              <w:keepNext/>
              <w:jc w:val="center"/>
              <w:rPr>
                <w:lang w:eastAsia="en-US"/>
              </w:rPr>
            </w:pPr>
            <w:r>
              <w:rPr>
                <w:lang w:eastAsia="en-US"/>
              </w:rPr>
              <w:t>0</w:t>
            </w:r>
          </w:p>
        </w:tc>
        <w:tc>
          <w:tcPr>
            <w:tcW w:w="992" w:type="dxa"/>
            <w:shd w:val="clear" w:color="auto" w:fill="auto"/>
            <w:vAlign w:val="center"/>
            <w:hideMark/>
          </w:tcPr>
          <w:p w14:paraId="4115DBD7" w14:textId="4FD35C72" w:rsidR="00B21016" w:rsidRPr="006A2A54" w:rsidRDefault="00A11521" w:rsidP="00B21016">
            <w:pPr>
              <w:keepNext/>
              <w:jc w:val="center"/>
              <w:rPr>
                <w:lang w:eastAsia="en-US"/>
              </w:rPr>
            </w:pPr>
            <w:r>
              <w:rPr>
                <w:lang w:eastAsia="en-US"/>
              </w:rPr>
              <w:t>0</w:t>
            </w:r>
          </w:p>
        </w:tc>
        <w:tc>
          <w:tcPr>
            <w:tcW w:w="1109" w:type="dxa"/>
            <w:shd w:val="clear" w:color="auto" w:fill="auto"/>
            <w:vAlign w:val="center"/>
            <w:hideMark/>
          </w:tcPr>
          <w:p w14:paraId="7E9FAB22" w14:textId="621B63DF" w:rsidR="00B21016" w:rsidRPr="006A2A54" w:rsidRDefault="00A11521" w:rsidP="00B21016">
            <w:pPr>
              <w:keepNext/>
              <w:jc w:val="center"/>
              <w:rPr>
                <w:lang w:eastAsia="en-US"/>
              </w:rPr>
            </w:pPr>
            <w:r>
              <w:rPr>
                <w:lang w:eastAsia="en-US"/>
              </w:rPr>
              <w:t>0</w:t>
            </w:r>
          </w:p>
        </w:tc>
        <w:tc>
          <w:tcPr>
            <w:tcW w:w="1105" w:type="dxa"/>
            <w:shd w:val="clear" w:color="auto" w:fill="auto"/>
            <w:vAlign w:val="center"/>
            <w:hideMark/>
          </w:tcPr>
          <w:p w14:paraId="4E7523FF" w14:textId="303AFD7D" w:rsidR="00B21016" w:rsidRPr="006A2A54" w:rsidRDefault="00A11521" w:rsidP="00B21016">
            <w:pPr>
              <w:keepNext/>
              <w:jc w:val="center"/>
              <w:rPr>
                <w:lang w:eastAsia="en-US"/>
              </w:rPr>
            </w:pPr>
            <w:r>
              <w:rPr>
                <w:lang w:eastAsia="en-US"/>
              </w:rPr>
              <w:t>0</w:t>
            </w:r>
          </w:p>
        </w:tc>
        <w:tc>
          <w:tcPr>
            <w:tcW w:w="1176" w:type="dxa"/>
            <w:shd w:val="clear" w:color="auto" w:fill="auto"/>
            <w:vAlign w:val="center"/>
            <w:hideMark/>
          </w:tcPr>
          <w:p w14:paraId="7EF2D628" w14:textId="6004B906" w:rsidR="00B21016" w:rsidRPr="006A2A54" w:rsidRDefault="00A11521" w:rsidP="00B21016">
            <w:pPr>
              <w:keepNext/>
              <w:jc w:val="center"/>
              <w:rPr>
                <w:lang w:eastAsia="en-US"/>
              </w:rPr>
            </w:pPr>
            <w:r>
              <w:rPr>
                <w:lang w:eastAsia="en-US"/>
              </w:rPr>
              <w:t>0</w:t>
            </w:r>
          </w:p>
        </w:tc>
      </w:tr>
      <w:tr w:rsidR="00B21016" w:rsidRPr="006A2A54" w14:paraId="18998E54" w14:textId="77777777" w:rsidTr="00455C9D">
        <w:tc>
          <w:tcPr>
            <w:tcW w:w="1972" w:type="dxa"/>
            <w:shd w:val="clear" w:color="auto" w:fill="auto"/>
            <w:hideMark/>
          </w:tcPr>
          <w:p w14:paraId="63A75062" w14:textId="77777777" w:rsidR="00B21016" w:rsidRPr="006A2A54" w:rsidRDefault="00B21016" w:rsidP="00B21016">
            <w:pPr>
              <w:keepNext/>
              <w:rPr>
                <w:lang w:eastAsia="en-US"/>
              </w:rPr>
            </w:pPr>
            <w:r w:rsidRPr="006A2A54">
              <w:rPr>
                <w:lang w:eastAsia="en-US"/>
              </w:rPr>
              <w:t>3.2. speciālais budžets</w:t>
            </w:r>
          </w:p>
        </w:tc>
        <w:tc>
          <w:tcPr>
            <w:tcW w:w="1144" w:type="dxa"/>
            <w:shd w:val="clear" w:color="auto" w:fill="auto"/>
            <w:vAlign w:val="center"/>
            <w:hideMark/>
          </w:tcPr>
          <w:p w14:paraId="24C39878" w14:textId="646AD730" w:rsidR="00B21016" w:rsidRPr="006A2A54" w:rsidRDefault="00A11521" w:rsidP="00B21016">
            <w:pPr>
              <w:keepNext/>
              <w:jc w:val="center"/>
              <w:rPr>
                <w:lang w:eastAsia="en-US"/>
              </w:rPr>
            </w:pPr>
            <w:r>
              <w:rPr>
                <w:lang w:eastAsia="en-US"/>
              </w:rPr>
              <w:t>0</w:t>
            </w:r>
          </w:p>
        </w:tc>
        <w:tc>
          <w:tcPr>
            <w:tcW w:w="1008" w:type="dxa"/>
            <w:shd w:val="clear" w:color="auto" w:fill="auto"/>
            <w:vAlign w:val="center"/>
            <w:hideMark/>
          </w:tcPr>
          <w:p w14:paraId="7EBCF766" w14:textId="71CE2620" w:rsidR="00B21016" w:rsidRPr="006A2A54" w:rsidRDefault="00A11521" w:rsidP="00B21016">
            <w:pPr>
              <w:keepNext/>
              <w:jc w:val="center"/>
              <w:rPr>
                <w:lang w:eastAsia="en-US"/>
              </w:rPr>
            </w:pPr>
            <w:r>
              <w:rPr>
                <w:lang w:eastAsia="en-US"/>
              </w:rPr>
              <w:t>0</w:t>
            </w:r>
          </w:p>
        </w:tc>
        <w:tc>
          <w:tcPr>
            <w:tcW w:w="1018" w:type="dxa"/>
            <w:shd w:val="clear" w:color="auto" w:fill="auto"/>
            <w:vAlign w:val="center"/>
            <w:hideMark/>
          </w:tcPr>
          <w:p w14:paraId="326C1305" w14:textId="0C9983BA" w:rsidR="00B21016" w:rsidRPr="006A2A54" w:rsidRDefault="00A11521" w:rsidP="00B21016">
            <w:pPr>
              <w:keepNext/>
              <w:jc w:val="center"/>
              <w:rPr>
                <w:lang w:eastAsia="en-US"/>
              </w:rPr>
            </w:pPr>
            <w:r>
              <w:rPr>
                <w:lang w:eastAsia="en-US"/>
              </w:rPr>
              <w:t>0</w:t>
            </w:r>
          </w:p>
        </w:tc>
        <w:tc>
          <w:tcPr>
            <w:tcW w:w="992" w:type="dxa"/>
            <w:shd w:val="clear" w:color="auto" w:fill="auto"/>
            <w:vAlign w:val="center"/>
            <w:hideMark/>
          </w:tcPr>
          <w:p w14:paraId="7722702B" w14:textId="785F31D6" w:rsidR="00B21016" w:rsidRPr="006A2A54" w:rsidRDefault="00A11521" w:rsidP="00B21016">
            <w:pPr>
              <w:keepNext/>
              <w:jc w:val="center"/>
              <w:rPr>
                <w:lang w:eastAsia="en-US"/>
              </w:rPr>
            </w:pPr>
            <w:r>
              <w:rPr>
                <w:lang w:eastAsia="en-US"/>
              </w:rPr>
              <w:t>0</w:t>
            </w:r>
          </w:p>
        </w:tc>
        <w:tc>
          <w:tcPr>
            <w:tcW w:w="1109" w:type="dxa"/>
            <w:shd w:val="clear" w:color="auto" w:fill="auto"/>
            <w:vAlign w:val="center"/>
            <w:hideMark/>
          </w:tcPr>
          <w:p w14:paraId="7F361B27" w14:textId="7707D294" w:rsidR="00B21016" w:rsidRPr="006A2A54" w:rsidRDefault="00A11521" w:rsidP="00B21016">
            <w:pPr>
              <w:keepNext/>
              <w:jc w:val="center"/>
              <w:rPr>
                <w:lang w:eastAsia="en-US"/>
              </w:rPr>
            </w:pPr>
            <w:r>
              <w:rPr>
                <w:lang w:eastAsia="en-US"/>
              </w:rPr>
              <w:t>0</w:t>
            </w:r>
          </w:p>
        </w:tc>
        <w:tc>
          <w:tcPr>
            <w:tcW w:w="1105" w:type="dxa"/>
            <w:shd w:val="clear" w:color="auto" w:fill="auto"/>
            <w:vAlign w:val="center"/>
            <w:hideMark/>
          </w:tcPr>
          <w:p w14:paraId="59BC98FC" w14:textId="02267114" w:rsidR="00B21016" w:rsidRPr="006A2A54" w:rsidRDefault="00A11521" w:rsidP="00B21016">
            <w:pPr>
              <w:keepNext/>
              <w:jc w:val="center"/>
              <w:rPr>
                <w:lang w:eastAsia="en-US"/>
              </w:rPr>
            </w:pPr>
            <w:r>
              <w:rPr>
                <w:lang w:eastAsia="en-US"/>
              </w:rPr>
              <w:t>0</w:t>
            </w:r>
          </w:p>
        </w:tc>
        <w:tc>
          <w:tcPr>
            <w:tcW w:w="1176" w:type="dxa"/>
            <w:shd w:val="clear" w:color="auto" w:fill="auto"/>
            <w:vAlign w:val="center"/>
            <w:hideMark/>
          </w:tcPr>
          <w:p w14:paraId="3345D217" w14:textId="17CCC2BE" w:rsidR="00B21016" w:rsidRPr="006A2A54" w:rsidRDefault="00A11521" w:rsidP="00B21016">
            <w:pPr>
              <w:keepNext/>
              <w:jc w:val="center"/>
              <w:rPr>
                <w:lang w:eastAsia="en-US"/>
              </w:rPr>
            </w:pPr>
            <w:r>
              <w:rPr>
                <w:lang w:eastAsia="en-US"/>
              </w:rPr>
              <w:t>0</w:t>
            </w:r>
          </w:p>
        </w:tc>
      </w:tr>
      <w:tr w:rsidR="00B21016" w:rsidRPr="006A2A54" w14:paraId="68C97D2B" w14:textId="77777777" w:rsidTr="00455C9D">
        <w:tc>
          <w:tcPr>
            <w:tcW w:w="1972" w:type="dxa"/>
            <w:shd w:val="clear" w:color="auto" w:fill="auto"/>
            <w:hideMark/>
          </w:tcPr>
          <w:p w14:paraId="55F5FB6A" w14:textId="77777777" w:rsidR="00B21016" w:rsidRPr="006A2A54" w:rsidRDefault="00B21016" w:rsidP="00B21016">
            <w:pPr>
              <w:keepNext/>
              <w:rPr>
                <w:lang w:eastAsia="en-US"/>
              </w:rPr>
            </w:pPr>
            <w:r w:rsidRPr="006A2A54">
              <w:rPr>
                <w:lang w:eastAsia="en-US"/>
              </w:rPr>
              <w:t>3.3. pašvaldību budžets</w:t>
            </w:r>
          </w:p>
        </w:tc>
        <w:tc>
          <w:tcPr>
            <w:tcW w:w="1144" w:type="dxa"/>
            <w:shd w:val="clear" w:color="auto" w:fill="auto"/>
            <w:vAlign w:val="center"/>
            <w:hideMark/>
          </w:tcPr>
          <w:p w14:paraId="58BAF59C" w14:textId="56FCCB31" w:rsidR="00B21016" w:rsidRPr="006A2A54" w:rsidRDefault="00A11521" w:rsidP="00B21016">
            <w:pPr>
              <w:keepNext/>
              <w:jc w:val="center"/>
              <w:rPr>
                <w:lang w:eastAsia="en-US"/>
              </w:rPr>
            </w:pPr>
            <w:r>
              <w:rPr>
                <w:lang w:eastAsia="en-US"/>
              </w:rPr>
              <w:t>0</w:t>
            </w:r>
          </w:p>
        </w:tc>
        <w:tc>
          <w:tcPr>
            <w:tcW w:w="1008" w:type="dxa"/>
            <w:shd w:val="clear" w:color="auto" w:fill="auto"/>
            <w:vAlign w:val="center"/>
            <w:hideMark/>
          </w:tcPr>
          <w:p w14:paraId="176D554A" w14:textId="0E726E43" w:rsidR="00B21016" w:rsidRPr="006A2A54" w:rsidRDefault="00A11521" w:rsidP="00B21016">
            <w:pPr>
              <w:keepNext/>
              <w:jc w:val="center"/>
              <w:rPr>
                <w:lang w:eastAsia="en-US"/>
              </w:rPr>
            </w:pPr>
            <w:r>
              <w:rPr>
                <w:lang w:eastAsia="en-US"/>
              </w:rPr>
              <w:t>0</w:t>
            </w:r>
          </w:p>
        </w:tc>
        <w:tc>
          <w:tcPr>
            <w:tcW w:w="1018" w:type="dxa"/>
            <w:shd w:val="clear" w:color="auto" w:fill="auto"/>
            <w:vAlign w:val="center"/>
            <w:hideMark/>
          </w:tcPr>
          <w:p w14:paraId="586DB5C6" w14:textId="185BA26A" w:rsidR="00B21016" w:rsidRPr="006A2A54" w:rsidRDefault="00A11521" w:rsidP="00B21016">
            <w:pPr>
              <w:keepNext/>
              <w:jc w:val="center"/>
              <w:rPr>
                <w:lang w:eastAsia="en-US"/>
              </w:rPr>
            </w:pPr>
            <w:r>
              <w:rPr>
                <w:lang w:eastAsia="en-US"/>
              </w:rPr>
              <w:t>0</w:t>
            </w:r>
          </w:p>
        </w:tc>
        <w:tc>
          <w:tcPr>
            <w:tcW w:w="992" w:type="dxa"/>
            <w:shd w:val="clear" w:color="auto" w:fill="auto"/>
            <w:vAlign w:val="center"/>
            <w:hideMark/>
          </w:tcPr>
          <w:p w14:paraId="03E3481F" w14:textId="5DF4EE02" w:rsidR="00B21016" w:rsidRPr="006A2A54" w:rsidRDefault="00A11521" w:rsidP="00B21016">
            <w:pPr>
              <w:keepNext/>
              <w:jc w:val="center"/>
              <w:rPr>
                <w:lang w:eastAsia="en-US"/>
              </w:rPr>
            </w:pPr>
            <w:r>
              <w:rPr>
                <w:lang w:eastAsia="en-US"/>
              </w:rPr>
              <w:t>0</w:t>
            </w:r>
          </w:p>
        </w:tc>
        <w:tc>
          <w:tcPr>
            <w:tcW w:w="1109" w:type="dxa"/>
            <w:shd w:val="clear" w:color="auto" w:fill="auto"/>
            <w:vAlign w:val="center"/>
            <w:hideMark/>
          </w:tcPr>
          <w:p w14:paraId="415282E9" w14:textId="3BF26AB8" w:rsidR="00B21016" w:rsidRPr="006A2A54" w:rsidRDefault="00A11521" w:rsidP="00B21016">
            <w:pPr>
              <w:keepNext/>
              <w:jc w:val="center"/>
              <w:rPr>
                <w:lang w:eastAsia="en-US"/>
              </w:rPr>
            </w:pPr>
            <w:r>
              <w:rPr>
                <w:lang w:eastAsia="en-US"/>
              </w:rPr>
              <w:t>0</w:t>
            </w:r>
          </w:p>
        </w:tc>
        <w:tc>
          <w:tcPr>
            <w:tcW w:w="1105" w:type="dxa"/>
            <w:shd w:val="clear" w:color="auto" w:fill="auto"/>
            <w:vAlign w:val="center"/>
            <w:hideMark/>
          </w:tcPr>
          <w:p w14:paraId="15750096" w14:textId="2EE901AF" w:rsidR="00B21016" w:rsidRPr="006A2A54" w:rsidRDefault="00A11521" w:rsidP="00B21016">
            <w:pPr>
              <w:keepNext/>
              <w:jc w:val="center"/>
              <w:rPr>
                <w:lang w:eastAsia="en-US"/>
              </w:rPr>
            </w:pPr>
            <w:r>
              <w:rPr>
                <w:lang w:eastAsia="en-US"/>
              </w:rPr>
              <w:t>0</w:t>
            </w:r>
          </w:p>
        </w:tc>
        <w:tc>
          <w:tcPr>
            <w:tcW w:w="1176" w:type="dxa"/>
            <w:shd w:val="clear" w:color="auto" w:fill="auto"/>
            <w:vAlign w:val="center"/>
            <w:hideMark/>
          </w:tcPr>
          <w:p w14:paraId="44A42919" w14:textId="2557A887" w:rsidR="00B21016" w:rsidRPr="006A2A54" w:rsidRDefault="00A11521" w:rsidP="00B21016">
            <w:pPr>
              <w:keepNext/>
              <w:jc w:val="center"/>
              <w:rPr>
                <w:lang w:eastAsia="en-US"/>
              </w:rPr>
            </w:pPr>
            <w:r>
              <w:rPr>
                <w:lang w:eastAsia="en-US"/>
              </w:rPr>
              <w:t>0</w:t>
            </w:r>
          </w:p>
        </w:tc>
      </w:tr>
      <w:tr w:rsidR="00B21016" w:rsidRPr="006A2A54" w14:paraId="7AD2F43A" w14:textId="77777777" w:rsidTr="00455C9D">
        <w:tc>
          <w:tcPr>
            <w:tcW w:w="1972" w:type="dxa"/>
            <w:shd w:val="clear" w:color="auto" w:fill="auto"/>
            <w:hideMark/>
          </w:tcPr>
          <w:p w14:paraId="14D3D9B4" w14:textId="77777777" w:rsidR="00B21016" w:rsidRPr="006A2A54" w:rsidRDefault="00B21016" w:rsidP="00B21016">
            <w:pPr>
              <w:keepNext/>
              <w:rPr>
                <w:lang w:eastAsia="en-US"/>
              </w:rPr>
            </w:pPr>
            <w:r w:rsidRPr="006A2A54">
              <w:rPr>
                <w:lang w:eastAsia="en-US"/>
              </w:rPr>
              <w:t>4. Finanšu līdzekļi papildu izdevumu finansēšanai (kompensējošu izdevumu samazinājumu norāda ar "+" zīmi)</w:t>
            </w:r>
          </w:p>
        </w:tc>
        <w:tc>
          <w:tcPr>
            <w:tcW w:w="1144" w:type="dxa"/>
            <w:shd w:val="clear" w:color="auto" w:fill="auto"/>
            <w:vAlign w:val="center"/>
            <w:hideMark/>
          </w:tcPr>
          <w:p w14:paraId="1E538444" w14:textId="3B0C0240" w:rsidR="00B21016" w:rsidRPr="006A2A54" w:rsidRDefault="00A11521" w:rsidP="00B21016">
            <w:pPr>
              <w:keepNext/>
              <w:jc w:val="center"/>
              <w:rPr>
                <w:lang w:eastAsia="en-US"/>
              </w:rPr>
            </w:pPr>
            <w:r>
              <w:rPr>
                <w:lang w:eastAsia="en-US"/>
              </w:rPr>
              <w:t>0</w:t>
            </w:r>
          </w:p>
        </w:tc>
        <w:tc>
          <w:tcPr>
            <w:tcW w:w="1008" w:type="dxa"/>
            <w:shd w:val="clear" w:color="auto" w:fill="auto"/>
            <w:vAlign w:val="center"/>
            <w:hideMark/>
          </w:tcPr>
          <w:p w14:paraId="0505EF30" w14:textId="56BF16DB" w:rsidR="00B21016" w:rsidRPr="006A2A54" w:rsidRDefault="00A11521" w:rsidP="00B21016">
            <w:pPr>
              <w:keepNext/>
              <w:jc w:val="center"/>
              <w:rPr>
                <w:lang w:eastAsia="en-US"/>
              </w:rPr>
            </w:pPr>
            <w:r>
              <w:rPr>
                <w:lang w:eastAsia="en-US"/>
              </w:rPr>
              <w:t>0</w:t>
            </w:r>
          </w:p>
        </w:tc>
        <w:tc>
          <w:tcPr>
            <w:tcW w:w="1018" w:type="dxa"/>
            <w:shd w:val="clear" w:color="auto" w:fill="auto"/>
            <w:vAlign w:val="center"/>
            <w:hideMark/>
          </w:tcPr>
          <w:p w14:paraId="4FB5A6AE" w14:textId="7BDCC5F1" w:rsidR="00B21016" w:rsidRPr="006A2A54" w:rsidRDefault="00A11521" w:rsidP="00B21016">
            <w:pPr>
              <w:keepNext/>
              <w:jc w:val="center"/>
              <w:rPr>
                <w:lang w:eastAsia="en-US"/>
              </w:rPr>
            </w:pPr>
            <w:r>
              <w:rPr>
                <w:lang w:eastAsia="en-US"/>
              </w:rPr>
              <w:t>0</w:t>
            </w:r>
          </w:p>
        </w:tc>
        <w:tc>
          <w:tcPr>
            <w:tcW w:w="992" w:type="dxa"/>
            <w:shd w:val="clear" w:color="auto" w:fill="auto"/>
            <w:vAlign w:val="center"/>
            <w:hideMark/>
          </w:tcPr>
          <w:p w14:paraId="06C83B6E" w14:textId="5FA2AE74" w:rsidR="00B21016" w:rsidRPr="006A2A54" w:rsidRDefault="00A11521" w:rsidP="00B21016">
            <w:pPr>
              <w:keepNext/>
              <w:jc w:val="center"/>
              <w:rPr>
                <w:lang w:eastAsia="en-US"/>
              </w:rPr>
            </w:pPr>
            <w:r>
              <w:rPr>
                <w:lang w:eastAsia="en-US"/>
              </w:rPr>
              <w:t>0</w:t>
            </w:r>
          </w:p>
        </w:tc>
        <w:tc>
          <w:tcPr>
            <w:tcW w:w="1109" w:type="dxa"/>
            <w:shd w:val="clear" w:color="auto" w:fill="auto"/>
            <w:vAlign w:val="center"/>
            <w:hideMark/>
          </w:tcPr>
          <w:p w14:paraId="4A9C92BF" w14:textId="7F0B7460" w:rsidR="00B21016" w:rsidRPr="006A2A54" w:rsidRDefault="00A11521" w:rsidP="00B21016">
            <w:pPr>
              <w:keepNext/>
              <w:jc w:val="center"/>
              <w:rPr>
                <w:lang w:eastAsia="en-US"/>
              </w:rPr>
            </w:pPr>
            <w:r>
              <w:rPr>
                <w:lang w:eastAsia="en-US"/>
              </w:rPr>
              <w:t>0</w:t>
            </w:r>
          </w:p>
        </w:tc>
        <w:tc>
          <w:tcPr>
            <w:tcW w:w="1105" w:type="dxa"/>
            <w:shd w:val="clear" w:color="auto" w:fill="auto"/>
            <w:vAlign w:val="center"/>
            <w:hideMark/>
          </w:tcPr>
          <w:p w14:paraId="73B69488" w14:textId="757C77B7" w:rsidR="00B21016" w:rsidRPr="006A2A54" w:rsidRDefault="00A11521" w:rsidP="00B21016">
            <w:pPr>
              <w:keepNext/>
              <w:jc w:val="center"/>
              <w:rPr>
                <w:lang w:eastAsia="en-US"/>
              </w:rPr>
            </w:pPr>
            <w:r>
              <w:rPr>
                <w:lang w:eastAsia="en-US"/>
              </w:rPr>
              <w:t>0</w:t>
            </w:r>
          </w:p>
        </w:tc>
        <w:tc>
          <w:tcPr>
            <w:tcW w:w="1176" w:type="dxa"/>
            <w:shd w:val="clear" w:color="auto" w:fill="auto"/>
            <w:vAlign w:val="center"/>
            <w:hideMark/>
          </w:tcPr>
          <w:p w14:paraId="3E6D1BDE" w14:textId="43099699" w:rsidR="00B21016" w:rsidRPr="006A2A54" w:rsidRDefault="00A11521" w:rsidP="00B21016">
            <w:pPr>
              <w:keepNext/>
              <w:jc w:val="center"/>
              <w:rPr>
                <w:lang w:eastAsia="en-US"/>
              </w:rPr>
            </w:pPr>
            <w:r>
              <w:rPr>
                <w:lang w:eastAsia="en-US"/>
              </w:rPr>
              <w:t>0</w:t>
            </w:r>
          </w:p>
        </w:tc>
      </w:tr>
      <w:tr w:rsidR="00B21016" w:rsidRPr="006A2A54" w14:paraId="26836580" w14:textId="77777777" w:rsidTr="00455C9D">
        <w:tc>
          <w:tcPr>
            <w:tcW w:w="1972" w:type="dxa"/>
            <w:shd w:val="clear" w:color="auto" w:fill="auto"/>
            <w:hideMark/>
          </w:tcPr>
          <w:p w14:paraId="09F05A72" w14:textId="77777777" w:rsidR="00B21016" w:rsidRPr="006A2A54" w:rsidRDefault="00B21016" w:rsidP="00B21016">
            <w:pPr>
              <w:keepNext/>
              <w:rPr>
                <w:lang w:eastAsia="en-US"/>
              </w:rPr>
            </w:pPr>
            <w:r w:rsidRPr="006A2A54">
              <w:rPr>
                <w:lang w:eastAsia="en-US"/>
              </w:rPr>
              <w:lastRenderedPageBreak/>
              <w:t>5. Precizēta finansiālā ietekme</w:t>
            </w:r>
          </w:p>
        </w:tc>
        <w:tc>
          <w:tcPr>
            <w:tcW w:w="1144" w:type="dxa"/>
            <w:vMerge w:val="restart"/>
            <w:shd w:val="clear" w:color="auto" w:fill="auto"/>
            <w:vAlign w:val="center"/>
            <w:hideMark/>
          </w:tcPr>
          <w:p w14:paraId="64CA872D" w14:textId="0D51B0D6" w:rsidR="00B21016" w:rsidRPr="006A2A54" w:rsidRDefault="0044068B" w:rsidP="00B21016">
            <w:pPr>
              <w:keepNext/>
              <w:jc w:val="center"/>
              <w:rPr>
                <w:lang w:eastAsia="en-US"/>
              </w:rPr>
            </w:pPr>
            <w:r>
              <w:rPr>
                <w:lang w:eastAsia="en-US"/>
              </w:rPr>
              <w:t>0</w:t>
            </w:r>
          </w:p>
        </w:tc>
        <w:tc>
          <w:tcPr>
            <w:tcW w:w="1008" w:type="dxa"/>
            <w:shd w:val="clear" w:color="auto" w:fill="auto"/>
            <w:vAlign w:val="center"/>
            <w:hideMark/>
          </w:tcPr>
          <w:p w14:paraId="48B0B94A" w14:textId="61E353CE" w:rsidR="00B21016" w:rsidRPr="006A2A54" w:rsidRDefault="00A11521" w:rsidP="00B21016">
            <w:pPr>
              <w:keepNext/>
              <w:jc w:val="center"/>
              <w:rPr>
                <w:lang w:eastAsia="en-US"/>
              </w:rPr>
            </w:pPr>
            <w:r>
              <w:rPr>
                <w:lang w:eastAsia="en-US"/>
              </w:rPr>
              <w:t>0</w:t>
            </w:r>
          </w:p>
        </w:tc>
        <w:tc>
          <w:tcPr>
            <w:tcW w:w="1018" w:type="dxa"/>
            <w:vMerge w:val="restart"/>
            <w:shd w:val="clear" w:color="auto" w:fill="auto"/>
            <w:vAlign w:val="center"/>
            <w:hideMark/>
          </w:tcPr>
          <w:p w14:paraId="3EC133F5" w14:textId="11F9B9DE" w:rsidR="00B21016" w:rsidRPr="006A2A54" w:rsidRDefault="0044068B" w:rsidP="00B21016">
            <w:pPr>
              <w:keepNext/>
              <w:jc w:val="center"/>
              <w:rPr>
                <w:lang w:eastAsia="en-US"/>
              </w:rPr>
            </w:pPr>
            <w:r>
              <w:rPr>
                <w:lang w:eastAsia="en-US"/>
              </w:rPr>
              <w:t>0</w:t>
            </w:r>
          </w:p>
        </w:tc>
        <w:tc>
          <w:tcPr>
            <w:tcW w:w="992" w:type="dxa"/>
            <w:shd w:val="clear" w:color="auto" w:fill="auto"/>
            <w:vAlign w:val="center"/>
            <w:hideMark/>
          </w:tcPr>
          <w:p w14:paraId="14F3234F" w14:textId="77EFF6B7" w:rsidR="00B21016" w:rsidRPr="006A2A54" w:rsidRDefault="00A11521" w:rsidP="00B21016">
            <w:pPr>
              <w:keepNext/>
              <w:jc w:val="center"/>
              <w:rPr>
                <w:lang w:eastAsia="en-US"/>
              </w:rPr>
            </w:pPr>
            <w:r>
              <w:rPr>
                <w:lang w:eastAsia="en-US"/>
              </w:rPr>
              <w:t>0</w:t>
            </w:r>
          </w:p>
        </w:tc>
        <w:tc>
          <w:tcPr>
            <w:tcW w:w="1109" w:type="dxa"/>
            <w:vMerge w:val="restart"/>
            <w:shd w:val="clear" w:color="auto" w:fill="auto"/>
            <w:vAlign w:val="center"/>
            <w:hideMark/>
          </w:tcPr>
          <w:p w14:paraId="4E9E575A" w14:textId="345C2F00" w:rsidR="00B21016" w:rsidRPr="006A2A54" w:rsidRDefault="0044068B" w:rsidP="00B21016">
            <w:pPr>
              <w:keepNext/>
              <w:jc w:val="center"/>
              <w:rPr>
                <w:lang w:eastAsia="en-US"/>
              </w:rPr>
            </w:pPr>
            <w:r>
              <w:rPr>
                <w:lang w:eastAsia="en-US"/>
              </w:rPr>
              <w:t>0</w:t>
            </w:r>
          </w:p>
        </w:tc>
        <w:tc>
          <w:tcPr>
            <w:tcW w:w="1105" w:type="dxa"/>
            <w:shd w:val="clear" w:color="auto" w:fill="auto"/>
            <w:vAlign w:val="center"/>
            <w:hideMark/>
          </w:tcPr>
          <w:p w14:paraId="2B8A06BE" w14:textId="1951BA50" w:rsidR="00B21016" w:rsidRPr="006A2A54" w:rsidRDefault="00A11521" w:rsidP="00B21016">
            <w:pPr>
              <w:keepNext/>
              <w:jc w:val="center"/>
              <w:rPr>
                <w:lang w:eastAsia="en-US"/>
              </w:rPr>
            </w:pPr>
            <w:r>
              <w:rPr>
                <w:lang w:eastAsia="en-US"/>
              </w:rPr>
              <w:t>0</w:t>
            </w:r>
          </w:p>
        </w:tc>
        <w:tc>
          <w:tcPr>
            <w:tcW w:w="1176" w:type="dxa"/>
            <w:shd w:val="clear" w:color="auto" w:fill="auto"/>
            <w:vAlign w:val="center"/>
            <w:hideMark/>
          </w:tcPr>
          <w:p w14:paraId="693161D7" w14:textId="6F655618" w:rsidR="00B21016" w:rsidRPr="006A2A54" w:rsidRDefault="00A11521" w:rsidP="00B21016">
            <w:pPr>
              <w:keepNext/>
              <w:jc w:val="center"/>
              <w:rPr>
                <w:lang w:eastAsia="en-US"/>
              </w:rPr>
            </w:pPr>
            <w:r>
              <w:rPr>
                <w:lang w:eastAsia="en-US"/>
              </w:rPr>
              <w:t>0</w:t>
            </w:r>
          </w:p>
        </w:tc>
      </w:tr>
      <w:tr w:rsidR="00B21016" w:rsidRPr="006A2A54" w14:paraId="1870FBF1" w14:textId="77777777" w:rsidTr="00455C9D">
        <w:tc>
          <w:tcPr>
            <w:tcW w:w="1972" w:type="dxa"/>
            <w:shd w:val="clear" w:color="auto" w:fill="auto"/>
            <w:hideMark/>
          </w:tcPr>
          <w:p w14:paraId="19D9A4A9" w14:textId="77777777" w:rsidR="00B21016" w:rsidRPr="006A2A54" w:rsidRDefault="00B21016" w:rsidP="00B21016">
            <w:pPr>
              <w:keepNext/>
              <w:rPr>
                <w:lang w:eastAsia="en-US"/>
              </w:rPr>
            </w:pPr>
            <w:r w:rsidRPr="006A2A54">
              <w:rPr>
                <w:lang w:eastAsia="en-US"/>
              </w:rPr>
              <w:t>5.1. valsts pamatbudžets</w:t>
            </w:r>
          </w:p>
        </w:tc>
        <w:tc>
          <w:tcPr>
            <w:tcW w:w="1144" w:type="dxa"/>
            <w:vMerge/>
            <w:shd w:val="clear" w:color="auto" w:fill="auto"/>
            <w:vAlign w:val="center"/>
            <w:hideMark/>
          </w:tcPr>
          <w:p w14:paraId="4D8EB3F9" w14:textId="77777777" w:rsidR="00B21016" w:rsidRPr="006A2A54" w:rsidRDefault="00B21016" w:rsidP="00B21016">
            <w:pPr>
              <w:keepNext/>
              <w:jc w:val="center"/>
              <w:rPr>
                <w:lang w:eastAsia="en-US"/>
              </w:rPr>
            </w:pPr>
          </w:p>
        </w:tc>
        <w:tc>
          <w:tcPr>
            <w:tcW w:w="1008" w:type="dxa"/>
            <w:shd w:val="clear" w:color="auto" w:fill="auto"/>
            <w:vAlign w:val="center"/>
            <w:hideMark/>
          </w:tcPr>
          <w:p w14:paraId="769B235B" w14:textId="6912F913" w:rsidR="00B21016" w:rsidRPr="006A2A54" w:rsidRDefault="00A11521" w:rsidP="00B21016">
            <w:pPr>
              <w:keepNext/>
              <w:jc w:val="center"/>
              <w:rPr>
                <w:lang w:eastAsia="en-US"/>
              </w:rPr>
            </w:pPr>
            <w:r>
              <w:rPr>
                <w:lang w:eastAsia="en-US"/>
              </w:rPr>
              <w:t>0</w:t>
            </w:r>
          </w:p>
        </w:tc>
        <w:tc>
          <w:tcPr>
            <w:tcW w:w="1018" w:type="dxa"/>
            <w:vMerge/>
            <w:shd w:val="clear" w:color="auto" w:fill="auto"/>
            <w:vAlign w:val="center"/>
            <w:hideMark/>
          </w:tcPr>
          <w:p w14:paraId="38A85A56" w14:textId="77777777" w:rsidR="00B21016" w:rsidRPr="006A2A54" w:rsidRDefault="00B21016" w:rsidP="00B21016">
            <w:pPr>
              <w:keepNext/>
              <w:jc w:val="center"/>
              <w:rPr>
                <w:lang w:eastAsia="en-US"/>
              </w:rPr>
            </w:pPr>
          </w:p>
        </w:tc>
        <w:tc>
          <w:tcPr>
            <w:tcW w:w="992" w:type="dxa"/>
            <w:shd w:val="clear" w:color="auto" w:fill="auto"/>
            <w:vAlign w:val="center"/>
            <w:hideMark/>
          </w:tcPr>
          <w:p w14:paraId="2D9E6DE2" w14:textId="4BD8B806" w:rsidR="00B21016" w:rsidRPr="006A2A54" w:rsidRDefault="00A11521" w:rsidP="00B21016">
            <w:pPr>
              <w:keepNext/>
              <w:jc w:val="center"/>
              <w:rPr>
                <w:lang w:eastAsia="en-US"/>
              </w:rPr>
            </w:pPr>
            <w:r>
              <w:rPr>
                <w:lang w:eastAsia="en-US"/>
              </w:rPr>
              <w:t>0</w:t>
            </w:r>
          </w:p>
        </w:tc>
        <w:tc>
          <w:tcPr>
            <w:tcW w:w="1109" w:type="dxa"/>
            <w:vMerge/>
            <w:shd w:val="clear" w:color="auto" w:fill="auto"/>
            <w:vAlign w:val="center"/>
            <w:hideMark/>
          </w:tcPr>
          <w:p w14:paraId="31EA4C5F" w14:textId="77777777" w:rsidR="00B21016" w:rsidRPr="006A2A54" w:rsidRDefault="00B21016" w:rsidP="00B21016">
            <w:pPr>
              <w:keepNext/>
              <w:jc w:val="center"/>
              <w:rPr>
                <w:lang w:eastAsia="en-US"/>
              </w:rPr>
            </w:pPr>
          </w:p>
        </w:tc>
        <w:tc>
          <w:tcPr>
            <w:tcW w:w="1105" w:type="dxa"/>
            <w:shd w:val="clear" w:color="auto" w:fill="auto"/>
            <w:vAlign w:val="center"/>
            <w:hideMark/>
          </w:tcPr>
          <w:p w14:paraId="0480A71E" w14:textId="1DA4B80E" w:rsidR="00B21016" w:rsidRPr="006A2A54" w:rsidRDefault="00A11521" w:rsidP="00B21016">
            <w:pPr>
              <w:keepNext/>
              <w:jc w:val="center"/>
              <w:rPr>
                <w:lang w:eastAsia="en-US"/>
              </w:rPr>
            </w:pPr>
            <w:r>
              <w:rPr>
                <w:lang w:eastAsia="en-US"/>
              </w:rPr>
              <w:t>0</w:t>
            </w:r>
          </w:p>
        </w:tc>
        <w:tc>
          <w:tcPr>
            <w:tcW w:w="1176" w:type="dxa"/>
            <w:shd w:val="clear" w:color="auto" w:fill="auto"/>
            <w:vAlign w:val="center"/>
            <w:hideMark/>
          </w:tcPr>
          <w:p w14:paraId="5697CBC4" w14:textId="5335A2C3" w:rsidR="00B21016" w:rsidRPr="006A2A54" w:rsidRDefault="00A11521" w:rsidP="00B21016">
            <w:pPr>
              <w:keepNext/>
              <w:jc w:val="center"/>
              <w:rPr>
                <w:lang w:eastAsia="en-US"/>
              </w:rPr>
            </w:pPr>
            <w:r>
              <w:rPr>
                <w:lang w:eastAsia="en-US"/>
              </w:rPr>
              <w:t>0</w:t>
            </w:r>
          </w:p>
        </w:tc>
      </w:tr>
      <w:tr w:rsidR="00B21016" w:rsidRPr="006A2A54" w14:paraId="238AE2EB" w14:textId="77777777" w:rsidTr="00455C9D">
        <w:tc>
          <w:tcPr>
            <w:tcW w:w="1972" w:type="dxa"/>
            <w:shd w:val="clear" w:color="auto" w:fill="auto"/>
            <w:hideMark/>
          </w:tcPr>
          <w:p w14:paraId="417E08F1" w14:textId="77777777" w:rsidR="00B21016" w:rsidRPr="006A2A54" w:rsidRDefault="00B21016" w:rsidP="00B21016">
            <w:pPr>
              <w:keepNext/>
              <w:rPr>
                <w:lang w:eastAsia="en-US"/>
              </w:rPr>
            </w:pPr>
            <w:r w:rsidRPr="006A2A54">
              <w:rPr>
                <w:lang w:eastAsia="en-US"/>
              </w:rPr>
              <w:t>5.2. speciālais budžets</w:t>
            </w:r>
          </w:p>
        </w:tc>
        <w:tc>
          <w:tcPr>
            <w:tcW w:w="1144" w:type="dxa"/>
            <w:vMerge/>
            <w:shd w:val="clear" w:color="auto" w:fill="auto"/>
            <w:vAlign w:val="center"/>
            <w:hideMark/>
          </w:tcPr>
          <w:p w14:paraId="1B29EED4" w14:textId="77777777" w:rsidR="00B21016" w:rsidRPr="006A2A54" w:rsidRDefault="00B21016" w:rsidP="00B21016">
            <w:pPr>
              <w:keepNext/>
              <w:jc w:val="center"/>
              <w:rPr>
                <w:lang w:eastAsia="en-US"/>
              </w:rPr>
            </w:pPr>
          </w:p>
        </w:tc>
        <w:tc>
          <w:tcPr>
            <w:tcW w:w="1008" w:type="dxa"/>
            <w:shd w:val="clear" w:color="auto" w:fill="auto"/>
            <w:vAlign w:val="center"/>
            <w:hideMark/>
          </w:tcPr>
          <w:p w14:paraId="32BBF65C" w14:textId="17EA35AE" w:rsidR="00B21016" w:rsidRPr="006A2A54" w:rsidRDefault="00A11521" w:rsidP="00B21016">
            <w:pPr>
              <w:keepNext/>
              <w:jc w:val="center"/>
              <w:rPr>
                <w:lang w:eastAsia="en-US"/>
              </w:rPr>
            </w:pPr>
            <w:r>
              <w:rPr>
                <w:lang w:eastAsia="en-US"/>
              </w:rPr>
              <w:t>0</w:t>
            </w:r>
          </w:p>
        </w:tc>
        <w:tc>
          <w:tcPr>
            <w:tcW w:w="1018" w:type="dxa"/>
            <w:vMerge/>
            <w:shd w:val="clear" w:color="auto" w:fill="auto"/>
            <w:vAlign w:val="center"/>
            <w:hideMark/>
          </w:tcPr>
          <w:p w14:paraId="6FE6FBDD" w14:textId="77777777" w:rsidR="00B21016" w:rsidRPr="006A2A54" w:rsidRDefault="00B21016" w:rsidP="00B21016">
            <w:pPr>
              <w:keepNext/>
              <w:jc w:val="center"/>
              <w:rPr>
                <w:lang w:eastAsia="en-US"/>
              </w:rPr>
            </w:pPr>
          </w:p>
        </w:tc>
        <w:tc>
          <w:tcPr>
            <w:tcW w:w="992" w:type="dxa"/>
            <w:shd w:val="clear" w:color="auto" w:fill="auto"/>
            <w:vAlign w:val="center"/>
            <w:hideMark/>
          </w:tcPr>
          <w:p w14:paraId="0B594254" w14:textId="5418AD99" w:rsidR="00B21016" w:rsidRPr="006A2A54" w:rsidRDefault="00A11521" w:rsidP="00B21016">
            <w:pPr>
              <w:keepNext/>
              <w:jc w:val="center"/>
              <w:rPr>
                <w:lang w:eastAsia="en-US"/>
              </w:rPr>
            </w:pPr>
            <w:r>
              <w:rPr>
                <w:lang w:eastAsia="en-US"/>
              </w:rPr>
              <w:t>0</w:t>
            </w:r>
          </w:p>
        </w:tc>
        <w:tc>
          <w:tcPr>
            <w:tcW w:w="1109" w:type="dxa"/>
            <w:vMerge/>
            <w:shd w:val="clear" w:color="auto" w:fill="auto"/>
            <w:vAlign w:val="center"/>
            <w:hideMark/>
          </w:tcPr>
          <w:p w14:paraId="7A523980" w14:textId="77777777" w:rsidR="00B21016" w:rsidRPr="006A2A54" w:rsidRDefault="00B21016" w:rsidP="00B21016">
            <w:pPr>
              <w:keepNext/>
              <w:jc w:val="center"/>
              <w:rPr>
                <w:lang w:eastAsia="en-US"/>
              </w:rPr>
            </w:pPr>
          </w:p>
        </w:tc>
        <w:tc>
          <w:tcPr>
            <w:tcW w:w="1105" w:type="dxa"/>
            <w:shd w:val="clear" w:color="auto" w:fill="auto"/>
            <w:vAlign w:val="center"/>
            <w:hideMark/>
          </w:tcPr>
          <w:p w14:paraId="3F74CB0D" w14:textId="4BB1FD16" w:rsidR="00B21016" w:rsidRPr="006A2A54" w:rsidRDefault="00A11521" w:rsidP="00B21016">
            <w:pPr>
              <w:keepNext/>
              <w:jc w:val="center"/>
              <w:rPr>
                <w:lang w:eastAsia="en-US"/>
              </w:rPr>
            </w:pPr>
            <w:r>
              <w:rPr>
                <w:lang w:eastAsia="en-US"/>
              </w:rPr>
              <w:t>0</w:t>
            </w:r>
          </w:p>
        </w:tc>
        <w:tc>
          <w:tcPr>
            <w:tcW w:w="1176" w:type="dxa"/>
            <w:shd w:val="clear" w:color="auto" w:fill="auto"/>
            <w:vAlign w:val="center"/>
            <w:hideMark/>
          </w:tcPr>
          <w:p w14:paraId="7E9E8CC2" w14:textId="06472490" w:rsidR="00B21016" w:rsidRPr="006A2A54" w:rsidRDefault="00A11521" w:rsidP="00B21016">
            <w:pPr>
              <w:keepNext/>
              <w:jc w:val="center"/>
              <w:rPr>
                <w:lang w:eastAsia="en-US"/>
              </w:rPr>
            </w:pPr>
            <w:r>
              <w:rPr>
                <w:lang w:eastAsia="en-US"/>
              </w:rPr>
              <w:t>0</w:t>
            </w:r>
          </w:p>
        </w:tc>
      </w:tr>
      <w:tr w:rsidR="00B21016" w:rsidRPr="006A2A54" w14:paraId="3EDFE4CC" w14:textId="77777777" w:rsidTr="00455C9D">
        <w:tc>
          <w:tcPr>
            <w:tcW w:w="1972" w:type="dxa"/>
            <w:shd w:val="clear" w:color="auto" w:fill="auto"/>
            <w:hideMark/>
          </w:tcPr>
          <w:p w14:paraId="22300F57" w14:textId="77777777" w:rsidR="00B21016" w:rsidRPr="006A2A54" w:rsidRDefault="00B21016" w:rsidP="00B21016">
            <w:pPr>
              <w:keepNext/>
              <w:rPr>
                <w:lang w:eastAsia="en-US"/>
              </w:rPr>
            </w:pPr>
            <w:r w:rsidRPr="006A2A54">
              <w:rPr>
                <w:lang w:eastAsia="en-US"/>
              </w:rPr>
              <w:t>5.3. pašvaldību budžets</w:t>
            </w:r>
          </w:p>
        </w:tc>
        <w:tc>
          <w:tcPr>
            <w:tcW w:w="1144" w:type="dxa"/>
            <w:vMerge/>
            <w:shd w:val="clear" w:color="auto" w:fill="auto"/>
            <w:vAlign w:val="center"/>
            <w:hideMark/>
          </w:tcPr>
          <w:p w14:paraId="28C93866" w14:textId="77777777" w:rsidR="00B21016" w:rsidRPr="006A2A54" w:rsidRDefault="00B21016" w:rsidP="00B21016">
            <w:pPr>
              <w:keepNext/>
              <w:jc w:val="center"/>
              <w:rPr>
                <w:lang w:eastAsia="en-US"/>
              </w:rPr>
            </w:pPr>
          </w:p>
        </w:tc>
        <w:tc>
          <w:tcPr>
            <w:tcW w:w="1008" w:type="dxa"/>
            <w:shd w:val="clear" w:color="auto" w:fill="auto"/>
            <w:vAlign w:val="center"/>
            <w:hideMark/>
          </w:tcPr>
          <w:p w14:paraId="4A8578F2" w14:textId="0F1A1DA5" w:rsidR="00B21016" w:rsidRPr="006A2A54" w:rsidRDefault="00A11521" w:rsidP="00B21016">
            <w:pPr>
              <w:keepNext/>
              <w:jc w:val="center"/>
              <w:rPr>
                <w:lang w:eastAsia="en-US"/>
              </w:rPr>
            </w:pPr>
            <w:r>
              <w:rPr>
                <w:lang w:eastAsia="en-US"/>
              </w:rPr>
              <w:t>0</w:t>
            </w:r>
          </w:p>
        </w:tc>
        <w:tc>
          <w:tcPr>
            <w:tcW w:w="1018" w:type="dxa"/>
            <w:vMerge/>
            <w:shd w:val="clear" w:color="auto" w:fill="auto"/>
            <w:vAlign w:val="center"/>
            <w:hideMark/>
          </w:tcPr>
          <w:p w14:paraId="7D7DB839" w14:textId="77777777" w:rsidR="00B21016" w:rsidRPr="006A2A54" w:rsidRDefault="00B21016" w:rsidP="00B21016">
            <w:pPr>
              <w:keepNext/>
              <w:jc w:val="center"/>
              <w:rPr>
                <w:lang w:eastAsia="en-US"/>
              </w:rPr>
            </w:pPr>
          </w:p>
        </w:tc>
        <w:tc>
          <w:tcPr>
            <w:tcW w:w="992" w:type="dxa"/>
            <w:shd w:val="clear" w:color="auto" w:fill="auto"/>
            <w:vAlign w:val="center"/>
            <w:hideMark/>
          </w:tcPr>
          <w:p w14:paraId="5B115A84" w14:textId="51C8A43E" w:rsidR="00B21016" w:rsidRPr="006A2A54" w:rsidRDefault="00A11521" w:rsidP="00B21016">
            <w:pPr>
              <w:keepNext/>
              <w:jc w:val="center"/>
              <w:rPr>
                <w:lang w:eastAsia="en-US"/>
              </w:rPr>
            </w:pPr>
            <w:r>
              <w:rPr>
                <w:lang w:eastAsia="en-US"/>
              </w:rPr>
              <w:t>0</w:t>
            </w:r>
          </w:p>
        </w:tc>
        <w:tc>
          <w:tcPr>
            <w:tcW w:w="1109" w:type="dxa"/>
            <w:vMerge/>
            <w:shd w:val="clear" w:color="auto" w:fill="auto"/>
            <w:vAlign w:val="center"/>
            <w:hideMark/>
          </w:tcPr>
          <w:p w14:paraId="43CA64E0" w14:textId="77777777" w:rsidR="00B21016" w:rsidRPr="006A2A54" w:rsidRDefault="00B21016" w:rsidP="00B21016">
            <w:pPr>
              <w:keepNext/>
              <w:jc w:val="center"/>
              <w:rPr>
                <w:lang w:eastAsia="en-US"/>
              </w:rPr>
            </w:pPr>
          </w:p>
        </w:tc>
        <w:tc>
          <w:tcPr>
            <w:tcW w:w="1105" w:type="dxa"/>
            <w:shd w:val="clear" w:color="auto" w:fill="auto"/>
            <w:vAlign w:val="center"/>
            <w:hideMark/>
          </w:tcPr>
          <w:p w14:paraId="468CC6EE" w14:textId="72526D8B" w:rsidR="00B21016" w:rsidRPr="006A2A54" w:rsidRDefault="00A11521" w:rsidP="00B21016">
            <w:pPr>
              <w:keepNext/>
              <w:jc w:val="center"/>
              <w:rPr>
                <w:lang w:eastAsia="en-US"/>
              </w:rPr>
            </w:pPr>
            <w:r>
              <w:rPr>
                <w:lang w:eastAsia="en-US"/>
              </w:rPr>
              <w:t>0</w:t>
            </w:r>
          </w:p>
        </w:tc>
        <w:tc>
          <w:tcPr>
            <w:tcW w:w="1176" w:type="dxa"/>
            <w:shd w:val="clear" w:color="auto" w:fill="auto"/>
            <w:vAlign w:val="center"/>
            <w:hideMark/>
          </w:tcPr>
          <w:p w14:paraId="21B88555" w14:textId="5F416767" w:rsidR="00B21016" w:rsidRPr="006A2A54" w:rsidRDefault="00A11521" w:rsidP="00B21016">
            <w:pPr>
              <w:keepNext/>
              <w:jc w:val="center"/>
              <w:rPr>
                <w:lang w:eastAsia="en-US"/>
              </w:rPr>
            </w:pPr>
            <w:r>
              <w:rPr>
                <w:lang w:eastAsia="en-US"/>
              </w:rPr>
              <w:t>0</w:t>
            </w:r>
          </w:p>
        </w:tc>
      </w:tr>
      <w:tr w:rsidR="00B21016" w:rsidRPr="006A2A54" w14:paraId="199C4A4A" w14:textId="77777777" w:rsidTr="00455C9D">
        <w:tc>
          <w:tcPr>
            <w:tcW w:w="1972" w:type="dxa"/>
            <w:shd w:val="clear" w:color="auto" w:fill="auto"/>
            <w:hideMark/>
          </w:tcPr>
          <w:p w14:paraId="2E593490" w14:textId="77777777" w:rsidR="00B21016" w:rsidRPr="006A2A54" w:rsidRDefault="00B21016" w:rsidP="00B21016">
            <w:pPr>
              <w:keepNext/>
              <w:rPr>
                <w:lang w:eastAsia="en-US"/>
              </w:rPr>
            </w:pPr>
            <w:r w:rsidRPr="006A2A54">
              <w:rPr>
                <w:lang w:eastAsia="en-US"/>
              </w:rPr>
              <w:t>6. Detalizēts ieņēmumu un izdevumu aprēķins (ja nepieciešams, detalizētu ieņēmumu un izdevumu aprēķinu var pievienot anotācijas pielikumā)</w:t>
            </w:r>
          </w:p>
        </w:tc>
        <w:tc>
          <w:tcPr>
            <w:tcW w:w="7552" w:type="dxa"/>
            <w:gridSpan w:val="7"/>
            <w:shd w:val="clear" w:color="auto" w:fill="auto"/>
            <w:hideMark/>
          </w:tcPr>
          <w:p w14:paraId="2F42329C" w14:textId="1C0C7C55" w:rsidR="00B21016" w:rsidRPr="006A2A54" w:rsidRDefault="00B21016" w:rsidP="00512CFD">
            <w:pPr>
              <w:keepNext/>
              <w:rPr>
                <w:lang w:eastAsia="en-US"/>
              </w:rPr>
            </w:pPr>
          </w:p>
        </w:tc>
      </w:tr>
      <w:tr w:rsidR="00B21016" w:rsidRPr="006A2A54" w14:paraId="7E64E330" w14:textId="77777777" w:rsidTr="00455C9D">
        <w:tc>
          <w:tcPr>
            <w:tcW w:w="1972" w:type="dxa"/>
            <w:shd w:val="clear" w:color="auto" w:fill="auto"/>
            <w:hideMark/>
          </w:tcPr>
          <w:p w14:paraId="1BDAB487" w14:textId="32610D42" w:rsidR="00B21016" w:rsidRPr="006A2A54" w:rsidRDefault="00B21016" w:rsidP="00B21016">
            <w:pPr>
              <w:keepNext/>
              <w:rPr>
                <w:lang w:eastAsia="en-US"/>
              </w:rPr>
            </w:pPr>
            <w:r w:rsidRPr="006A2A54">
              <w:rPr>
                <w:lang w:eastAsia="en-US"/>
              </w:rPr>
              <w:t>6.1. detalizēts ieņēmumu aprēķins</w:t>
            </w:r>
          </w:p>
        </w:tc>
        <w:tc>
          <w:tcPr>
            <w:tcW w:w="7552" w:type="dxa"/>
            <w:gridSpan w:val="7"/>
            <w:vMerge w:val="restart"/>
            <w:shd w:val="clear" w:color="auto" w:fill="auto"/>
            <w:vAlign w:val="center"/>
            <w:hideMark/>
          </w:tcPr>
          <w:p w14:paraId="304C6900" w14:textId="77777777" w:rsidR="00B21016" w:rsidRPr="006A2A54" w:rsidRDefault="00B21016" w:rsidP="00B21016">
            <w:pPr>
              <w:keepNext/>
              <w:jc w:val="center"/>
              <w:rPr>
                <w:lang w:eastAsia="en-US"/>
              </w:rPr>
            </w:pPr>
          </w:p>
        </w:tc>
      </w:tr>
      <w:tr w:rsidR="00B21016" w:rsidRPr="006A2A54" w14:paraId="137672ED" w14:textId="77777777" w:rsidTr="00455C9D">
        <w:tc>
          <w:tcPr>
            <w:tcW w:w="1972" w:type="dxa"/>
            <w:shd w:val="clear" w:color="auto" w:fill="auto"/>
            <w:hideMark/>
          </w:tcPr>
          <w:p w14:paraId="7F6C9F7F" w14:textId="77777777" w:rsidR="00B21016" w:rsidRPr="006A2A54" w:rsidRDefault="00B21016" w:rsidP="00B21016">
            <w:pPr>
              <w:keepNext/>
              <w:rPr>
                <w:lang w:eastAsia="en-US"/>
              </w:rPr>
            </w:pPr>
            <w:r w:rsidRPr="006A2A54">
              <w:rPr>
                <w:lang w:eastAsia="en-US"/>
              </w:rPr>
              <w:t>6.2. detalizēts izdevumu aprēķins</w:t>
            </w:r>
          </w:p>
        </w:tc>
        <w:tc>
          <w:tcPr>
            <w:tcW w:w="7552" w:type="dxa"/>
            <w:gridSpan w:val="7"/>
            <w:vMerge/>
            <w:shd w:val="clear" w:color="auto" w:fill="auto"/>
            <w:vAlign w:val="center"/>
            <w:hideMark/>
          </w:tcPr>
          <w:p w14:paraId="052FBD1B" w14:textId="77777777" w:rsidR="00B21016" w:rsidRPr="006A2A54" w:rsidRDefault="00B21016" w:rsidP="00B21016">
            <w:pPr>
              <w:keepNext/>
              <w:jc w:val="center"/>
              <w:rPr>
                <w:lang w:eastAsia="en-US"/>
              </w:rPr>
            </w:pPr>
          </w:p>
        </w:tc>
      </w:tr>
      <w:tr w:rsidR="00B21016" w:rsidRPr="006A2A54" w14:paraId="6D75C9D1" w14:textId="77777777" w:rsidTr="00455C9D">
        <w:tc>
          <w:tcPr>
            <w:tcW w:w="1972" w:type="dxa"/>
            <w:shd w:val="clear" w:color="auto" w:fill="auto"/>
            <w:hideMark/>
          </w:tcPr>
          <w:p w14:paraId="4223B7D4" w14:textId="77777777" w:rsidR="00B21016" w:rsidRPr="006A2A54" w:rsidRDefault="00B21016" w:rsidP="00B21016">
            <w:pPr>
              <w:keepNext/>
              <w:rPr>
                <w:lang w:eastAsia="en-US"/>
              </w:rPr>
            </w:pPr>
            <w:r w:rsidRPr="006A2A54">
              <w:rPr>
                <w:lang w:eastAsia="en-US"/>
              </w:rPr>
              <w:t>7. Amata vietu skaita izmaiņas</w:t>
            </w:r>
          </w:p>
        </w:tc>
        <w:tc>
          <w:tcPr>
            <w:tcW w:w="7552" w:type="dxa"/>
            <w:gridSpan w:val="7"/>
            <w:shd w:val="clear" w:color="auto" w:fill="auto"/>
            <w:hideMark/>
          </w:tcPr>
          <w:p w14:paraId="6F500FA9" w14:textId="5737EFC3" w:rsidR="00B21016" w:rsidRPr="006A2A54" w:rsidRDefault="00B21016" w:rsidP="00B21016">
            <w:pPr>
              <w:keepNext/>
              <w:rPr>
                <w:lang w:eastAsia="en-US"/>
              </w:rPr>
            </w:pPr>
          </w:p>
        </w:tc>
      </w:tr>
      <w:tr w:rsidR="00B21016" w:rsidRPr="006A2A54" w14:paraId="431DD0F6" w14:textId="77777777" w:rsidTr="00455C9D">
        <w:tc>
          <w:tcPr>
            <w:tcW w:w="1972" w:type="dxa"/>
            <w:shd w:val="clear" w:color="auto" w:fill="auto"/>
            <w:hideMark/>
          </w:tcPr>
          <w:p w14:paraId="5ACC47D7" w14:textId="77777777" w:rsidR="00B21016" w:rsidRPr="00334129" w:rsidRDefault="00B21016" w:rsidP="00B21016">
            <w:pPr>
              <w:keepNext/>
              <w:rPr>
                <w:lang w:eastAsia="en-US"/>
              </w:rPr>
            </w:pPr>
            <w:r w:rsidRPr="00334129">
              <w:rPr>
                <w:lang w:eastAsia="en-US"/>
              </w:rPr>
              <w:t>8. Cita informācija</w:t>
            </w:r>
          </w:p>
        </w:tc>
        <w:tc>
          <w:tcPr>
            <w:tcW w:w="7552" w:type="dxa"/>
            <w:gridSpan w:val="7"/>
            <w:shd w:val="clear" w:color="auto" w:fill="auto"/>
            <w:hideMark/>
          </w:tcPr>
          <w:p w14:paraId="69ECF91E" w14:textId="505B542E" w:rsidR="00B21016" w:rsidRPr="00334129" w:rsidRDefault="00455C9D" w:rsidP="00E4466E">
            <w:pPr>
              <w:keepNext/>
              <w:jc w:val="both"/>
              <w:rPr>
                <w:lang w:eastAsia="en-US"/>
              </w:rPr>
            </w:pPr>
            <w:r w:rsidRPr="00334129">
              <w:rPr>
                <w:lang w:eastAsia="en-US"/>
              </w:rPr>
              <w:t>Ailēs “saskaņā ar valsts budžetu kārtējam gadam” un “saskaņā ar vidēja termiņa budžeta ietvaru” norādīts finansējums, kas apstiprināts Izglītības un zinātnes ministrijas apakšprogrammai 01.05.00. “Dotācija privātajām mācību iestādēm”.</w:t>
            </w:r>
          </w:p>
        </w:tc>
      </w:tr>
    </w:tbl>
    <w:p w14:paraId="69E637C5" w14:textId="77777777" w:rsidR="006A2A54" w:rsidRDefault="006A2A54" w:rsidP="00BE2242">
      <w:pPr>
        <w:pStyle w:val="Title"/>
        <w:keepNext/>
        <w:spacing w:before="130" w:line="260" w:lineRule="exact"/>
        <w:ind w:firstLine="539"/>
        <w:jc w:val="both"/>
        <w:rPr>
          <w:sz w:val="24"/>
          <w:szCs w:val="24"/>
        </w:rPr>
      </w:pP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71"/>
        <w:gridCol w:w="2667"/>
        <w:gridCol w:w="5827"/>
      </w:tblGrid>
      <w:tr w:rsidR="006A2A54" w:rsidRPr="006A2A54" w14:paraId="6B166102" w14:textId="77777777" w:rsidTr="00D072D6">
        <w:tc>
          <w:tcPr>
            <w:tcW w:w="9065" w:type="dxa"/>
            <w:gridSpan w:val="3"/>
            <w:vAlign w:val="center"/>
            <w:hideMark/>
          </w:tcPr>
          <w:p w14:paraId="3FF66891" w14:textId="77777777" w:rsidR="006A2A54" w:rsidRPr="006A2A54" w:rsidRDefault="006A2A54" w:rsidP="00BE2242">
            <w:pPr>
              <w:keepNext/>
              <w:jc w:val="center"/>
              <w:rPr>
                <w:b/>
                <w:bCs/>
              </w:rPr>
            </w:pPr>
            <w:r w:rsidRPr="006A2A54">
              <w:rPr>
                <w:b/>
                <w:bCs/>
              </w:rPr>
              <w:t>IV. Tiesību akta projekta ietekme uz spēkā esošo tiesību normu sistēmu</w:t>
            </w:r>
          </w:p>
        </w:tc>
      </w:tr>
      <w:tr w:rsidR="001261FF" w:rsidRPr="006A2A54" w14:paraId="298E4063" w14:textId="77777777" w:rsidTr="00D072D6">
        <w:tc>
          <w:tcPr>
            <w:tcW w:w="571" w:type="dxa"/>
            <w:hideMark/>
          </w:tcPr>
          <w:p w14:paraId="54947DDD" w14:textId="77777777" w:rsidR="001261FF" w:rsidRPr="006A2A54" w:rsidRDefault="001261FF" w:rsidP="001261FF">
            <w:pPr>
              <w:keepNext/>
              <w:jc w:val="center"/>
            </w:pPr>
            <w:r w:rsidRPr="006A2A54">
              <w:t>1.</w:t>
            </w:r>
          </w:p>
        </w:tc>
        <w:tc>
          <w:tcPr>
            <w:tcW w:w="2667" w:type="dxa"/>
            <w:hideMark/>
          </w:tcPr>
          <w:p w14:paraId="5FAD761A" w14:textId="77777777" w:rsidR="001261FF" w:rsidRPr="006A2A54" w:rsidRDefault="001261FF" w:rsidP="001261FF">
            <w:pPr>
              <w:keepNext/>
            </w:pPr>
            <w:r w:rsidRPr="006A2A54">
              <w:t>Saistītie tiesību aktu projekti</w:t>
            </w:r>
          </w:p>
        </w:tc>
        <w:tc>
          <w:tcPr>
            <w:tcW w:w="5827" w:type="dxa"/>
            <w:hideMark/>
          </w:tcPr>
          <w:p w14:paraId="671EE324" w14:textId="256B37C8" w:rsidR="00512CFD" w:rsidRPr="002227FD" w:rsidRDefault="00CF348E" w:rsidP="002227FD">
            <w:pPr>
              <w:keepNext/>
              <w:jc w:val="both"/>
            </w:pPr>
            <w:r w:rsidRPr="002227FD">
              <w:t>Līdztekus šim noteikumu projektam</w:t>
            </w:r>
            <w:r w:rsidR="00512CFD" w:rsidRPr="002227FD">
              <w:t xml:space="preserve"> ministrijā ir</w:t>
            </w:r>
            <w:r w:rsidRPr="002227FD">
              <w:t xml:space="preserve"> izstrādāts</w:t>
            </w:r>
            <w:r w:rsidR="00512CFD" w:rsidRPr="002227FD">
              <w:t xml:space="preserve"> noteikumu Nr. 447 grozījumu projekts</w:t>
            </w:r>
            <w:r w:rsidR="002227FD" w:rsidRPr="002227FD">
              <w:t xml:space="preserve">, </w:t>
            </w:r>
            <w:r w:rsidR="00257987" w:rsidRPr="00257987">
              <w:t>kas 2021. gada 27.</w:t>
            </w:r>
            <w:r w:rsidR="00257987">
              <w:t> </w:t>
            </w:r>
            <w:r w:rsidR="00257987" w:rsidRPr="00257987">
              <w:t>maijā izsludināts Valsts sekretāru sanāksmē (VSS-487) (pieejams: http://tap.mk.gov.lv/lv/mk/tap/?pid=40502694)</w:t>
            </w:r>
            <w:r w:rsidRPr="002227FD">
              <w:t>,</w:t>
            </w:r>
            <w:r w:rsidR="00294AC8">
              <w:t xml:space="preserve"> </w:t>
            </w:r>
            <w:r w:rsidR="002227FD" w:rsidRPr="002227FD">
              <w:t>un atsevišķi tajā ietvertie grozījumi attiecas uz tiem pašiem jautājumiem, uz kuriem attiecas šis noteikumu projekts.</w:t>
            </w:r>
          </w:p>
          <w:p w14:paraId="1C98B617" w14:textId="57767E85" w:rsidR="001261FF" w:rsidRPr="002227FD" w:rsidRDefault="0076444B" w:rsidP="001261FF">
            <w:pPr>
              <w:keepNext/>
              <w:jc w:val="both"/>
            </w:pPr>
            <w:r w:rsidRPr="002227FD">
              <w:t xml:space="preserve">Minētais noteikumu </w:t>
            </w:r>
            <w:r w:rsidR="002227FD" w:rsidRPr="002227FD">
              <w:t xml:space="preserve">Nr. 447 grozījumu </w:t>
            </w:r>
            <w:r w:rsidRPr="002227FD">
              <w:t xml:space="preserve">projekts var </w:t>
            </w:r>
            <w:r w:rsidR="002227FD" w:rsidRPr="002227FD">
              <w:t xml:space="preserve">arī </w:t>
            </w:r>
            <w:r w:rsidRPr="002227FD">
              <w:t xml:space="preserve">tikt virzīts vienlaikus ar šo noteikumu projektu, </w:t>
            </w:r>
            <w:r w:rsidR="002227FD" w:rsidRPr="002227FD">
              <w:t>taču abiem noteikumu projektiem kā spēkā stāšanās termiņš ir noteikts 2021. gada 1. septembris.</w:t>
            </w:r>
          </w:p>
        </w:tc>
      </w:tr>
      <w:tr w:rsidR="001261FF" w:rsidRPr="006A2A54" w14:paraId="76FDAFC4" w14:textId="77777777" w:rsidTr="00D072D6">
        <w:tc>
          <w:tcPr>
            <w:tcW w:w="571" w:type="dxa"/>
            <w:hideMark/>
          </w:tcPr>
          <w:p w14:paraId="5148DA00" w14:textId="77777777" w:rsidR="001261FF" w:rsidRPr="006A2A54" w:rsidRDefault="001261FF" w:rsidP="001261FF">
            <w:pPr>
              <w:keepNext/>
              <w:jc w:val="center"/>
            </w:pPr>
            <w:r w:rsidRPr="006A2A54">
              <w:t>2.</w:t>
            </w:r>
          </w:p>
        </w:tc>
        <w:tc>
          <w:tcPr>
            <w:tcW w:w="2667" w:type="dxa"/>
            <w:hideMark/>
          </w:tcPr>
          <w:p w14:paraId="72E00924" w14:textId="77777777" w:rsidR="001261FF" w:rsidRPr="006A2A54" w:rsidRDefault="001261FF" w:rsidP="001261FF">
            <w:pPr>
              <w:keepNext/>
            </w:pPr>
            <w:r w:rsidRPr="006A2A54">
              <w:t>Atbildīgā institūcija</w:t>
            </w:r>
          </w:p>
        </w:tc>
        <w:tc>
          <w:tcPr>
            <w:tcW w:w="5827" w:type="dxa"/>
            <w:hideMark/>
          </w:tcPr>
          <w:p w14:paraId="17CB8D70" w14:textId="63EDCA84" w:rsidR="001261FF" w:rsidRPr="006A2A54" w:rsidRDefault="001261FF" w:rsidP="001261FF">
            <w:pPr>
              <w:keepNext/>
              <w:jc w:val="both"/>
            </w:pPr>
            <w:r>
              <w:t>Ministrija</w:t>
            </w:r>
            <w:r w:rsidR="00512CFD">
              <w:t>.</w:t>
            </w:r>
          </w:p>
        </w:tc>
      </w:tr>
      <w:tr w:rsidR="001261FF" w:rsidRPr="006A2A54" w14:paraId="02EC3D13" w14:textId="77777777" w:rsidTr="00D072D6">
        <w:tc>
          <w:tcPr>
            <w:tcW w:w="571" w:type="dxa"/>
            <w:hideMark/>
          </w:tcPr>
          <w:p w14:paraId="7D4CE73D" w14:textId="77777777" w:rsidR="001261FF" w:rsidRPr="006A2A54" w:rsidRDefault="001261FF" w:rsidP="001261FF">
            <w:pPr>
              <w:keepNext/>
              <w:jc w:val="center"/>
            </w:pPr>
            <w:r w:rsidRPr="006A2A54">
              <w:t>3.</w:t>
            </w:r>
          </w:p>
        </w:tc>
        <w:tc>
          <w:tcPr>
            <w:tcW w:w="2667" w:type="dxa"/>
            <w:hideMark/>
          </w:tcPr>
          <w:p w14:paraId="0A5004E0" w14:textId="77777777" w:rsidR="001261FF" w:rsidRPr="006A2A54" w:rsidRDefault="001261FF" w:rsidP="001261FF">
            <w:pPr>
              <w:keepNext/>
            </w:pPr>
            <w:r w:rsidRPr="006A2A54">
              <w:t>Cita informācija</w:t>
            </w:r>
          </w:p>
        </w:tc>
        <w:tc>
          <w:tcPr>
            <w:tcW w:w="5827" w:type="dxa"/>
          </w:tcPr>
          <w:p w14:paraId="3AD7C6A3" w14:textId="57D1E32B" w:rsidR="001261FF" w:rsidRPr="006A2A54" w:rsidRDefault="001261FF" w:rsidP="001261FF">
            <w:pPr>
              <w:keepNext/>
              <w:jc w:val="both"/>
            </w:pPr>
            <w:r>
              <w:t>Nav.</w:t>
            </w:r>
          </w:p>
        </w:tc>
      </w:tr>
    </w:tbl>
    <w:p w14:paraId="3BEFBDEC" w14:textId="77777777" w:rsidR="006A2A54" w:rsidRPr="006A2A54" w:rsidRDefault="006A2A54" w:rsidP="006A2A54">
      <w:pPr>
        <w:pStyle w:val="Title"/>
        <w:spacing w:before="130" w:line="260" w:lineRule="exact"/>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1"/>
      </w:tblGrid>
      <w:tr w:rsidR="006A2A54" w:rsidRPr="006A2A54" w14:paraId="31ACD193" w14:textId="77777777" w:rsidTr="00A17971">
        <w:trPr>
          <w:cantSplit/>
        </w:trPr>
        <w:tc>
          <w:tcPr>
            <w:tcW w:w="5000" w:type="pct"/>
            <w:vAlign w:val="center"/>
            <w:hideMark/>
          </w:tcPr>
          <w:p w14:paraId="7755CD2B" w14:textId="77777777" w:rsidR="006A2A54" w:rsidRPr="006A2A54" w:rsidRDefault="006A2A54" w:rsidP="00A17971">
            <w:pPr>
              <w:jc w:val="center"/>
              <w:rPr>
                <w:b/>
                <w:bCs/>
              </w:rPr>
            </w:pPr>
            <w:r w:rsidRPr="006A2A54">
              <w:rPr>
                <w:b/>
                <w:bCs/>
              </w:rPr>
              <w:t>V. Tiesību akta projekta atbilstība Latvijas Republikas starptautiskajām saistībām</w:t>
            </w:r>
          </w:p>
        </w:tc>
      </w:tr>
      <w:tr w:rsidR="006A2A54" w:rsidRPr="006A2A54" w14:paraId="27B80E22" w14:textId="77777777" w:rsidTr="006A2A54">
        <w:trPr>
          <w:cantSplit/>
        </w:trPr>
        <w:tc>
          <w:tcPr>
            <w:tcW w:w="5000" w:type="pct"/>
            <w:hideMark/>
          </w:tcPr>
          <w:p w14:paraId="4DF0BE0E" w14:textId="77777777" w:rsidR="006A2A54" w:rsidRPr="006A2A54" w:rsidRDefault="006A2A54" w:rsidP="006A2A54">
            <w:pPr>
              <w:jc w:val="center"/>
            </w:pPr>
            <w:r w:rsidRPr="006A2A54">
              <w:t>Noteikumu projekts šo jomu neskar.</w:t>
            </w:r>
          </w:p>
        </w:tc>
      </w:tr>
    </w:tbl>
    <w:p w14:paraId="5B02E92B" w14:textId="77777777" w:rsidR="006A2A54" w:rsidRPr="006A2A54" w:rsidRDefault="006A2A54" w:rsidP="006A2A54">
      <w:pPr>
        <w:pStyle w:val="Title"/>
        <w:spacing w:before="130" w:line="260" w:lineRule="exact"/>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6A2A54" w:rsidRPr="006A2A54" w14:paraId="43F1E99D" w14:textId="77777777" w:rsidTr="00055DBB">
        <w:tc>
          <w:tcPr>
            <w:tcW w:w="5000" w:type="pct"/>
            <w:gridSpan w:val="3"/>
            <w:vAlign w:val="center"/>
            <w:hideMark/>
          </w:tcPr>
          <w:p w14:paraId="19B80704" w14:textId="77777777" w:rsidR="006A2A54" w:rsidRPr="006A2A54" w:rsidRDefault="006A2A54" w:rsidP="00A17971">
            <w:pPr>
              <w:jc w:val="center"/>
              <w:rPr>
                <w:b/>
                <w:bCs/>
              </w:rPr>
            </w:pPr>
            <w:r w:rsidRPr="006A2A54">
              <w:rPr>
                <w:b/>
                <w:bCs/>
              </w:rPr>
              <w:lastRenderedPageBreak/>
              <w:t>VI. Sabiedrības līdzdalība un komunikācijas aktivitātes</w:t>
            </w:r>
          </w:p>
        </w:tc>
      </w:tr>
      <w:tr w:rsidR="006A2A54" w:rsidRPr="006A2A54" w14:paraId="47ACE516" w14:textId="77777777" w:rsidTr="00055DBB">
        <w:tc>
          <w:tcPr>
            <w:tcW w:w="311" w:type="pct"/>
            <w:hideMark/>
          </w:tcPr>
          <w:p w14:paraId="329BF89D" w14:textId="77777777" w:rsidR="006A2A54" w:rsidRPr="006A2A54" w:rsidRDefault="006A2A54" w:rsidP="00A17971">
            <w:pPr>
              <w:jc w:val="center"/>
            </w:pPr>
            <w:r w:rsidRPr="006A2A54">
              <w:t>1.</w:t>
            </w:r>
          </w:p>
        </w:tc>
        <w:tc>
          <w:tcPr>
            <w:tcW w:w="1479" w:type="pct"/>
            <w:hideMark/>
          </w:tcPr>
          <w:p w14:paraId="249D6AF1" w14:textId="77777777" w:rsidR="006A2A54" w:rsidRPr="006A2A54" w:rsidRDefault="006A2A54" w:rsidP="00A17971">
            <w:r w:rsidRPr="006A2A54">
              <w:t>Plānotās sabiedrības līdzdalības un komunikācijas aktivitātes saistībā ar projektu</w:t>
            </w:r>
          </w:p>
        </w:tc>
        <w:tc>
          <w:tcPr>
            <w:tcW w:w="3210" w:type="pct"/>
            <w:hideMark/>
          </w:tcPr>
          <w:p w14:paraId="461C531A" w14:textId="53FD2896" w:rsidR="007E5015" w:rsidRPr="00512CFD" w:rsidRDefault="00512CFD" w:rsidP="008E4AC6">
            <w:pPr>
              <w:jc w:val="both"/>
              <w:rPr>
                <w:color w:val="FF0000"/>
              </w:rPr>
            </w:pPr>
            <w:r w:rsidRPr="00C8771B">
              <w:rPr>
                <w:iCs/>
                <w:color w:val="000000" w:themeColor="text1"/>
              </w:rPr>
              <w:t>Sabiedrības līdzdalība projekta izstrādē tiks nodrošināta, ievietojot informāciju par projektu ministrijas tīmekļvietnes www.izm.gov.lv sadaļā “</w:t>
            </w:r>
            <w:r>
              <w:rPr>
                <w:iCs/>
                <w:color w:val="000000" w:themeColor="text1"/>
              </w:rPr>
              <w:t>Normatīvie akti</w:t>
            </w:r>
            <w:r w:rsidRPr="00C8771B">
              <w:rPr>
                <w:iCs/>
                <w:color w:val="000000" w:themeColor="text1"/>
              </w:rPr>
              <w:t xml:space="preserve">” un Valsts kancelejas tīmekļvietnē, aicinot sabiedrības pārstāvjus rakstiski sniegt viedokli par </w:t>
            </w:r>
            <w:r>
              <w:rPr>
                <w:iCs/>
                <w:color w:val="000000" w:themeColor="text1"/>
              </w:rPr>
              <w:t>p</w:t>
            </w:r>
            <w:r w:rsidRPr="00C8771B">
              <w:rPr>
                <w:iCs/>
                <w:color w:val="000000" w:themeColor="text1"/>
              </w:rPr>
              <w:t>rojektu tā izstrādes stadijā</w:t>
            </w:r>
            <w:r>
              <w:rPr>
                <w:iCs/>
                <w:color w:val="000000" w:themeColor="text1"/>
              </w:rPr>
              <w:t>.</w:t>
            </w:r>
          </w:p>
        </w:tc>
      </w:tr>
      <w:tr w:rsidR="006A2A54" w:rsidRPr="006A2A54" w14:paraId="10B63965" w14:textId="77777777" w:rsidTr="00055DBB">
        <w:tc>
          <w:tcPr>
            <w:tcW w:w="311" w:type="pct"/>
            <w:hideMark/>
          </w:tcPr>
          <w:p w14:paraId="4EDD5243" w14:textId="77777777" w:rsidR="006A2A54" w:rsidRPr="006A2A54" w:rsidRDefault="006A2A54" w:rsidP="00A17971">
            <w:pPr>
              <w:jc w:val="center"/>
            </w:pPr>
            <w:r w:rsidRPr="006A2A54">
              <w:t>2.</w:t>
            </w:r>
          </w:p>
        </w:tc>
        <w:tc>
          <w:tcPr>
            <w:tcW w:w="1479" w:type="pct"/>
            <w:hideMark/>
          </w:tcPr>
          <w:p w14:paraId="1BA9A2F1" w14:textId="77777777" w:rsidR="006A2A54" w:rsidRPr="006A2A54" w:rsidRDefault="006A2A54" w:rsidP="00A17971">
            <w:r w:rsidRPr="006A2A54">
              <w:t>Sabiedrības līdzdalība projekta izstrādē</w:t>
            </w:r>
          </w:p>
        </w:tc>
        <w:tc>
          <w:tcPr>
            <w:tcW w:w="3210" w:type="pct"/>
            <w:hideMark/>
          </w:tcPr>
          <w:p w14:paraId="55DCBFC8" w14:textId="176C9DE3" w:rsidR="006A2A54" w:rsidRPr="00512CFD" w:rsidRDefault="00512CFD" w:rsidP="007358B0">
            <w:pPr>
              <w:jc w:val="both"/>
              <w:rPr>
                <w:color w:val="FF0000"/>
              </w:rPr>
            </w:pPr>
            <w:r>
              <w:rPr>
                <w:color w:val="000000" w:themeColor="text1"/>
              </w:rPr>
              <w:t xml:space="preserve">Projekts publicēts ministrijas tīmekļvietnē 2021. gada </w:t>
            </w:r>
            <w:r w:rsidR="00257987">
              <w:rPr>
                <w:color w:val="000000" w:themeColor="text1"/>
              </w:rPr>
              <w:t>28. </w:t>
            </w:r>
            <w:r>
              <w:rPr>
                <w:color w:val="000000" w:themeColor="text1"/>
              </w:rPr>
              <w:t xml:space="preserve">maijā (pieejams: </w:t>
            </w:r>
            <w:r w:rsidR="00257987" w:rsidRPr="00257987">
              <w:rPr>
                <w:color w:val="000000" w:themeColor="text1"/>
              </w:rPr>
              <w:t>https://www.izm.gov.lv/lv/sabiedriskajai-apspriesanai-nodotie-normativo-aktu-projekti-2021g</w:t>
            </w:r>
            <w:r>
              <w:rPr>
                <w:color w:val="000000" w:themeColor="text1"/>
              </w:rPr>
              <w:t xml:space="preserve">) un Valsts kancelejas tīmekļvietnē 2021. gada </w:t>
            </w:r>
            <w:r w:rsidR="00257987">
              <w:rPr>
                <w:color w:val="000000" w:themeColor="text1"/>
              </w:rPr>
              <w:t>28. </w:t>
            </w:r>
            <w:r>
              <w:rPr>
                <w:color w:val="000000" w:themeColor="text1"/>
              </w:rPr>
              <w:t xml:space="preserve">maijā (pieejams: </w:t>
            </w:r>
            <w:r w:rsidR="00257987" w:rsidRPr="00257987">
              <w:rPr>
                <w:color w:val="000000" w:themeColor="text1"/>
              </w:rPr>
              <w:t>https://www.mk.gov.lv/lv/ministru-kabineta-diskusiju-dokumenti</w:t>
            </w:r>
            <w:r>
              <w:rPr>
                <w:color w:val="000000" w:themeColor="text1"/>
              </w:rPr>
              <w:t>).</w:t>
            </w:r>
          </w:p>
        </w:tc>
      </w:tr>
      <w:tr w:rsidR="006A2A54" w:rsidRPr="006A2A54" w14:paraId="44A7D392" w14:textId="77777777" w:rsidTr="00055DBB">
        <w:tc>
          <w:tcPr>
            <w:tcW w:w="311" w:type="pct"/>
            <w:hideMark/>
          </w:tcPr>
          <w:p w14:paraId="39C49416" w14:textId="77777777" w:rsidR="006A2A54" w:rsidRPr="006A2A54" w:rsidRDefault="006A2A54" w:rsidP="00A17971">
            <w:pPr>
              <w:jc w:val="center"/>
            </w:pPr>
            <w:r w:rsidRPr="006A2A54">
              <w:t>3.</w:t>
            </w:r>
          </w:p>
        </w:tc>
        <w:tc>
          <w:tcPr>
            <w:tcW w:w="1479" w:type="pct"/>
            <w:hideMark/>
          </w:tcPr>
          <w:p w14:paraId="4571D2E7" w14:textId="77777777" w:rsidR="006A2A54" w:rsidRPr="006A2A54" w:rsidRDefault="006A2A54" w:rsidP="00A17971">
            <w:r w:rsidRPr="006A2A54">
              <w:t>Sabiedrības līdzdalības rezultāti</w:t>
            </w:r>
          </w:p>
        </w:tc>
        <w:tc>
          <w:tcPr>
            <w:tcW w:w="3210" w:type="pct"/>
            <w:hideMark/>
          </w:tcPr>
          <w:p w14:paraId="3AB4C9A0" w14:textId="31D4A660" w:rsidR="00D114C1" w:rsidRPr="00512CFD" w:rsidRDefault="00512CFD" w:rsidP="00055DBB">
            <w:pPr>
              <w:jc w:val="both"/>
              <w:rPr>
                <w:color w:val="FF0000"/>
              </w:rPr>
            </w:pPr>
            <w:r>
              <w:rPr>
                <w:iCs/>
                <w:color w:val="000000" w:themeColor="text1"/>
              </w:rPr>
              <w:t>Pirms projekta publicēšanas atbilstoši šīs sadaļas 2. punktā minētajam viedokļi nav saņemti.</w:t>
            </w:r>
          </w:p>
        </w:tc>
      </w:tr>
      <w:tr w:rsidR="006A2A54" w:rsidRPr="006A2A54" w14:paraId="1ACE1EA8" w14:textId="77777777" w:rsidTr="00055DBB">
        <w:tc>
          <w:tcPr>
            <w:tcW w:w="311" w:type="pct"/>
            <w:hideMark/>
          </w:tcPr>
          <w:p w14:paraId="756C56B6" w14:textId="77777777" w:rsidR="006A2A54" w:rsidRPr="006A2A54" w:rsidRDefault="006A2A54" w:rsidP="00A17971">
            <w:pPr>
              <w:jc w:val="center"/>
            </w:pPr>
            <w:r w:rsidRPr="006A2A54">
              <w:t>4.</w:t>
            </w:r>
          </w:p>
        </w:tc>
        <w:tc>
          <w:tcPr>
            <w:tcW w:w="1479" w:type="pct"/>
            <w:hideMark/>
          </w:tcPr>
          <w:p w14:paraId="584779AE" w14:textId="77777777" w:rsidR="006A2A54" w:rsidRPr="006A2A54" w:rsidRDefault="006A2A54" w:rsidP="00A17971">
            <w:r w:rsidRPr="006A2A54">
              <w:t>Cita informācija</w:t>
            </w:r>
          </w:p>
        </w:tc>
        <w:tc>
          <w:tcPr>
            <w:tcW w:w="3210" w:type="pct"/>
            <w:hideMark/>
          </w:tcPr>
          <w:p w14:paraId="4913E1E6" w14:textId="681D14C9" w:rsidR="006A2A54" w:rsidRPr="006A2A54" w:rsidRDefault="001735F7" w:rsidP="00A17971">
            <w:r>
              <w:t>Nav.</w:t>
            </w:r>
          </w:p>
        </w:tc>
      </w:tr>
    </w:tbl>
    <w:p w14:paraId="707ACE4C" w14:textId="77777777" w:rsidR="006A2A54" w:rsidRPr="006A2A54" w:rsidRDefault="006A2A54" w:rsidP="006A2A54">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6A2A54" w:rsidRPr="006A2A54" w14:paraId="3C6167B9" w14:textId="77777777" w:rsidTr="00A17971">
        <w:trPr>
          <w:cantSplit/>
        </w:trPr>
        <w:tc>
          <w:tcPr>
            <w:tcW w:w="5000" w:type="pct"/>
            <w:gridSpan w:val="3"/>
            <w:vAlign w:val="center"/>
            <w:hideMark/>
          </w:tcPr>
          <w:p w14:paraId="32492D73" w14:textId="77777777" w:rsidR="006A2A54" w:rsidRPr="006A2A54" w:rsidRDefault="006A2A54" w:rsidP="00A17971">
            <w:pPr>
              <w:jc w:val="center"/>
              <w:rPr>
                <w:b/>
                <w:bCs/>
              </w:rPr>
            </w:pPr>
            <w:r w:rsidRPr="006A2A54">
              <w:rPr>
                <w:b/>
                <w:bCs/>
              </w:rPr>
              <w:t>VII. Tiesību akta projekta izpildes nodrošināšana un tās ietekme uz institūcijām</w:t>
            </w:r>
          </w:p>
        </w:tc>
      </w:tr>
      <w:tr w:rsidR="006A2A54" w:rsidRPr="006A2A54" w14:paraId="3056A99D" w14:textId="77777777" w:rsidTr="008F4284">
        <w:tc>
          <w:tcPr>
            <w:tcW w:w="311" w:type="pct"/>
            <w:hideMark/>
          </w:tcPr>
          <w:p w14:paraId="7FD500F7" w14:textId="77777777" w:rsidR="006A2A54" w:rsidRPr="006A2A54" w:rsidRDefault="006A2A54" w:rsidP="00A17971">
            <w:pPr>
              <w:jc w:val="center"/>
            </w:pPr>
            <w:r w:rsidRPr="006A2A54">
              <w:t>1.</w:t>
            </w:r>
          </w:p>
        </w:tc>
        <w:tc>
          <w:tcPr>
            <w:tcW w:w="1479" w:type="pct"/>
            <w:hideMark/>
          </w:tcPr>
          <w:p w14:paraId="2992FEFD" w14:textId="77777777" w:rsidR="006A2A54" w:rsidRPr="006A2A54" w:rsidRDefault="006A2A54" w:rsidP="00A17971">
            <w:r w:rsidRPr="006A2A54">
              <w:t>Projekta izpildē iesaistītās institūcijas</w:t>
            </w:r>
          </w:p>
        </w:tc>
        <w:tc>
          <w:tcPr>
            <w:tcW w:w="3210" w:type="pct"/>
            <w:hideMark/>
          </w:tcPr>
          <w:p w14:paraId="074D021C" w14:textId="232ABF37" w:rsidR="00055DBB" w:rsidRPr="006A2A54" w:rsidRDefault="001735F7" w:rsidP="007358B0">
            <w:pPr>
              <w:jc w:val="both"/>
            </w:pPr>
            <w:r>
              <w:t xml:space="preserve">Ministrija, </w:t>
            </w:r>
            <w:r w:rsidR="00512CFD">
              <w:t>i</w:t>
            </w:r>
            <w:r w:rsidR="00512CFD" w:rsidRPr="00512CFD">
              <w:t>zglītības iestādes, to izglītojamie, pedagogi un dibinātāji</w:t>
            </w:r>
            <w:r w:rsidR="00055DBB">
              <w:t>.</w:t>
            </w:r>
          </w:p>
        </w:tc>
      </w:tr>
      <w:tr w:rsidR="006A2A54" w:rsidRPr="006A2A54" w14:paraId="3A98534C" w14:textId="77777777" w:rsidTr="008F4284">
        <w:tc>
          <w:tcPr>
            <w:tcW w:w="311" w:type="pct"/>
            <w:hideMark/>
          </w:tcPr>
          <w:p w14:paraId="07B5C3C8" w14:textId="77777777" w:rsidR="006A2A54" w:rsidRPr="006A2A54" w:rsidRDefault="006A2A54" w:rsidP="00A17971">
            <w:pPr>
              <w:jc w:val="center"/>
            </w:pPr>
            <w:r w:rsidRPr="006A2A54">
              <w:t>2.</w:t>
            </w:r>
          </w:p>
        </w:tc>
        <w:tc>
          <w:tcPr>
            <w:tcW w:w="1479" w:type="pct"/>
            <w:hideMark/>
          </w:tcPr>
          <w:p w14:paraId="632477AB" w14:textId="77777777" w:rsidR="006A2A54" w:rsidRPr="006A2A54" w:rsidRDefault="006A2A54" w:rsidP="00A17971">
            <w:r w:rsidRPr="006A2A54">
              <w:t>Projekta izpildes ietekme uz pārvaldes funkcijām un institucionālo struktūru.</w:t>
            </w:r>
            <w:r w:rsidRPr="006A2A54">
              <w:br/>
              <w:t>Jaunu institūciju izveide, esošu institūciju likvidācija vai reorganizācija, to ietekme uz institūcijas cilvēkresursiem</w:t>
            </w:r>
          </w:p>
        </w:tc>
        <w:tc>
          <w:tcPr>
            <w:tcW w:w="3210" w:type="pct"/>
            <w:hideMark/>
          </w:tcPr>
          <w:p w14:paraId="090FB4D0" w14:textId="3D0D6501" w:rsidR="006A2A54" w:rsidRPr="006A2A54" w:rsidRDefault="001735F7" w:rsidP="001735F7">
            <w:pPr>
              <w:jc w:val="both"/>
            </w:pPr>
            <w:r>
              <w:t>Noteikumu p</w:t>
            </w:r>
            <w:r w:rsidRPr="00353F4F">
              <w:t>rojekta izpilde neietekmēs pārvaldes funkcijas vai institucionālo struktūru un cilvēkresursus.</w:t>
            </w:r>
          </w:p>
        </w:tc>
      </w:tr>
      <w:tr w:rsidR="006A2A54" w:rsidRPr="006A2A54" w14:paraId="2E32AA8D" w14:textId="77777777" w:rsidTr="00A17971">
        <w:trPr>
          <w:cantSplit/>
        </w:trPr>
        <w:tc>
          <w:tcPr>
            <w:tcW w:w="311" w:type="pct"/>
            <w:hideMark/>
          </w:tcPr>
          <w:p w14:paraId="00C06C3F" w14:textId="77777777" w:rsidR="006A2A54" w:rsidRPr="006A2A54" w:rsidRDefault="006A2A54" w:rsidP="00A17971">
            <w:pPr>
              <w:jc w:val="center"/>
            </w:pPr>
            <w:r w:rsidRPr="006A2A54">
              <w:t>3.</w:t>
            </w:r>
          </w:p>
        </w:tc>
        <w:tc>
          <w:tcPr>
            <w:tcW w:w="1479" w:type="pct"/>
            <w:hideMark/>
          </w:tcPr>
          <w:p w14:paraId="710553FF" w14:textId="77777777" w:rsidR="006A2A54" w:rsidRPr="006A2A54" w:rsidRDefault="006A2A54" w:rsidP="00A17971">
            <w:r w:rsidRPr="006A2A54">
              <w:t>Cita informācija</w:t>
            </w:r>
          </w:p>
        </w:tc>
        <w:tc>
          <w:tcPr>
            <w:tcW w:w="3210" w:type="pct"/>
            <w:hideMark/>
          </w:tcPr>
          <w:p w14:paraId="747456CB" w14:textId="0AB7CB82" w:rsidR="006A2A54" w:rsidRPr="006A2A54" w:rsidRDefault="001735F7" w:rsidP="001735F7">
            <w:pPr>
              <w:jc w:val="both"/>
            </w:pPr>
            <w:r>
              <w:t>Nav.</w:t>
            </w:r>
          </w:p>
        </w:tc>
      </w:tr>
    </w:tbl>
    <w:p w14:paraId="68C59FFD" w14:textId="77777777" w:rsidR="006E5A2B" w:rsidRDefault="006E5A2B"/>
    <w:p w14:paraId="65E41F25" w14:textId="77777777" w:rsidR="001735F7" w:rsidRDefault="001735F7"/>
    <w:p w14:paraId="7B8BCE7E" w14:textId="77777777" w:rsidR="001735F7" w:rsidRDefault="001735F7"/>
    <w:p w14:paraId="3D7DA1DF" w14:textId="210B6FDF" w:rsidR="001735F7" w:rsidRDefault="001735F7" w:rsidP="001735F7">
      <w:pPr>
        <w:ind w:firstLine="720"/>
      </w:pPr>
      <w:r>
        <w:t>Izglītības un zinātnes ministre</w:t>
      </w:r>
      <w:r>
        <w:tab/>
      </w:r>
      <w:r>
        <w:tab/>
      </w:r>
      <w:r>
        <w:tab/>
      </w:r>
      <w:r>
        <w:tab/>
      </w:r>
      <w:r>
        <w:tab/>
        <w:t>I. </w:t>
      </w:r>
      <w:proofErr w:type="spellStart"/>
      <w:r>
        <w:t>Šuplinska</w:t>
      </w:r>
      <w:proofErr w:type="spellEnd"/>
    </w:p>
    <w:p w14:paraId="4C457E4F" w14:textId="77777777" w:rsidR="001735F7" w:rsidRDefault="001735F7" w:rsidP="001735F7">
      <w:pPr>
        <w:ind w:firstLine="720"/>
      </w:pPr>
    </w:p>
    <w:p w14:paraId="4ECF8950" w14:textId="6FB6BB85" w:rsidR="001735F7" w:rsidRDefault="001735F7" w:rsidP="001735F7">
      <w:pPr>
        <w:ind w:firstLine="720"/>
      </w:pPr>
      <w:r>
        <w:t>Vizē:</w:t>
      </w:r>
    </w:p>
    <w:p w14:paraId="76387A3F" w14:textId="746AC079" w:rsidR="001735F7" w:rsidRDefault="001735F7" w:rsidP="00153A1A">
      <w:pPr>
        <w:ind w:firstLine="720"/>
      </w:pPr>
      <w:r>
        <w:t xml:space="preserve">Valsts </w:t>
      </w:r>
      <w:r w:rsidR="001106A5">
        <w:t>sekretār</w:t>
      </w:r>
      <w:r w:rsidR="00153A1A">
        <w:t>s</w:t>
      </w:r>
      <w:r>
        <w:tab/>
      </w:r>
      <w:r>
        <w:tab/>
      </w:r>
      <w:r>
        <w:tab/>
      </w:r>
      <w:r>
        <w:tab/>
      </w:r>
      <w:r>
        <w:tab/>
      </w:r>
      <w:r>
        <w:tab/>
      </w:r>
      <w:r>
        <w:tab/>
      </w:r>
      <w:r w:rsidR="001106A5">
        <w:t>J. </w:t>
      </w:r>
      <w:proofErr w:type="spellStart"/>
      <w:r w:rsidR="001106A5">
        <w:t>Volberts</w:t>
      </w:r>
      <w:proofErr w:type="spellEnd"/>
    </w:p>
    <w:p w14:paraId="4C9B71C1" w14:textId="77777777" w:rsidR="001735F7" w:rsidRDefault="001735F7" w:rsidP="001735F7">
      <w:pPr>
        <w:ind w:firstLine="720"/>
      </w:pPr>
    </w:p>
    <w:p w14:paraId="5FBE29B3" w14:textId="0BEA2A41" w:rsidR="001735F7" w:rsidRDefault="001735F7" w:rsidP="001106A5"/>
    <w:p w14:paraId="3163C12D" w14:textId="5AF6B2B6" w:rsidR="00841B55" w:rsidRDefault="00841B55" w:rsidP="001106A5"/>
    <w:p w14:paraId="4532E861" w14:textId="4D09992B" w:rsidR="00841B55" w:rsidRDefault="00841B55" w:rsidP="001106A5"/>
    <w:p w14:paraId="0445EEDA" w14:textId="77777777" w:rsidR="00841B55" w:rsidRDefault="00841B55" w:rsidP="001106A5"/>
    <w:p w14:paraId="56A0E077" w14:textId="52975F39" w:rsidR="001735F7" w:rsidRPr="001F3B5E" w:rsidRDefault="001735F7" w:rsidP="001735F7">
      <w:pPr>
        <w:ind w:firstLine="720"/>
        <w:rPr>
          <w:sz w:val="22"/>
        </w:rPr>
      </w:pPr>
      <w:r w:rsidRPr="001F3B5E">
        <w:rPr>
          <w:sz w:val="22"/>
        </w:rPr>
        <w:t>Rudzīte 67047807</w:t>
      </w:r>
    </w:p>
    <w:p w14:paraId="6C213FBE" w14:textId="424BEC9B" w:rsidR="001735F7" w:rsidRDefault="00A05246" w:rsidP="001735F7">
      <w:pPr>
        <w:ind w:firstLine="720"/>
        <w:rPr>
          <w:rStyle w:val="Hyperlink"/>
          <w:color w:val="auto"/>
          <w:sz w:val="22"/>
          <w:u w:val="none"/>
        </w:rPr>
      </w:pPr>
      <w:r w:rsidRPr="00A05246">
        <w:rPr>
          <w:sz w:val="22"/>
        </w:rPr>
        <w:t>ance.rudzite@izm.gov.lv</w:t>
      </w:r>
    </w:p>
    <w:p w14:paraId="7B28822B" w14:textId="4D5A0C57" w:rsidR="00334129" w:rsidRDefault="00334129" w:rsidP="001735F7">
      <w:pPr>
        <w:ind w:firstLine="720"/>
        <w:rPr>
          <w:rStyle w:val="Hyperlink"/>
          <w:color w:val="auto"/>
          <w:sz w:val="22"/>
          <w:u w:val="none"/>
        </w:rPr>
      </w:pPr>
      <w:proofErr w:type="spellStart"/>
      <w:r>
        <w:rPr>
          <w:rStyle w:val="Hyperlink"/>
          <w:color w:val="auto"/>
          <w:sz w:val="22"/>
          <w:u w:val="none"/>
        </w:rPr>
        <w:t>Pavloviča</w:t>
      </w:r>
      <w:proofErr w:type="spellEnd"/>
      <w:r>
        <w:rPr>
          <w:rStyle w:val="Hyperlink"/>
          <w:color w:val="auto"/>
          <w:sz w:val="22"/>
          <w:u w:val="none"/>
        </w:rPr>
        <w:t xml:space="preserve"> 67047860</w:t>
      </w:r>
    </w:p>
    <w:p w14:paraId="129851CE" w14:textId="1E991BF2" w:rsidR="00334129" w:rsidRPr="001F3B5E" w:rsidRDefault="00334129" w:rsidP="001735F7">
      <w:pPr>
        <w:ind w:firstLine="720"/>
        <w:rPr>
          <w:sz w:val="22"/>
        </w:rPr>
      </w:pPr>
      <w:r>
        <w:rPr>
          <w:rStyle w:val="Hyperlink"/>
          <w:color w:val="auto"/>
          <w:sz w:val="22"/>
          <w:u w:val="none"/>
        </w:rPr>
        <w:t>initra.pavlovica@izm.gov.lv</w:t>
      </w:r>
    </w:p>
    <w:p w14:paraId="7A428A37" w14:textId="39F65DF9" w:rsidR="001735F7" w:rsidRPr="006A2A54" w:rsidRDefault="001735F7" w:rsidP="001106A5">
      <w:pPr>
        <w:ind w:firstLine="720"/>
      </w:pPr>
    </w:p>
    <w:sectPr w:rsidR="001735F7" w:rsidRPr="006A2A54" w:rsidSect="006A2A54">
      <w:headerReference w:type="default" r:id="rId8"/>
      <w:footerReference w:type="default" r:id="rId9"/>
      <w:footerReference w:type="first" r:id="rId10"/>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CC46" w14:textId="77777777" w:rsidR="007C3D2B" w:rsidRDefault="007C3D2B" w:rsidP="006A2A54">
      <w:r>
        <w:separator/>
      </w:r>
    </w:p>
  </w:endnote>
  <w:endnote w:type="continuationSeparator" w:id="0">
    <w:p w14:paraId="3D836510" w14:textId="77777777" w:rsidR="007C3D2B" w:rsidRDefault="007C3D2B" w:rsidP="006A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3FC3" w14:textId="5051770A" w:rsidR="00A60ED2" w:rsidRDefault="00A60ED2">
    <w:pPr>
      <w:pStyle w:val="Footer"/>
    </w:pPr>
    <w:r w:rsidRPr="00437436">
      <w:t>IZMAnot_</w:t>
    </w:r>
    <w:r w:rsidR="0016688B">
      <w:t>2</w:t>
    </w:r>
    <w:r w:rsidR="0016688B">
      <w:t>7</w:t>
    </w:r>
    <w:r w:rsidR="0016688B">
      <w:t>05</w:t>
    </w:r>
    <w:r w:rsidR="0016688B" w:rsidRPr="00437436">
      <w:t>21</w:t>
    </w:r>
    <w:r w:rsidRPr="00437436">
      <w:t>_groz538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7F2D" w14:textId="36C3F176" w:rsidR="00A60ED2" w:rsidRDefault="00A60ED2">
    <w:pPr>
      <w:pStyle w:val="Footer"/>
    </w:pPr>
    <w:r w:rsidRPr="00437436">
      <w:t>IZMAnot_</w:t>
    </w:r>
    <w:r w:rsidR="0016688B">
      <w:t>2</w:t>
    </w:r>
    <w:r w:rsidR="0016688B">
      <w:t>7</w:t>
    </w:r>
    <w:r w:rsidR="0016688B">
      <w:t>05</w:t>
    </w:r>
    <w:r w:rsidR="0016688B" w:rsidRPr="00437436">
      <w:t>21</w:t>
    </w:r>
    <w:r w:rsidRPr="00437436">
      <w:t>_groz538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8FDA1" w14:textId="77777777" w:rsidR="007C3D2B" w:rsidRDefault="007C3D2B" w:rsidP="006A2A54">
      <w:r>
        <w:separator/>
      </w:r>
    </w:p>
  </w:footnote>
  <w:footnote w:type="continuationSeparator" w:id="0">
    <w:p w14:paraId="67B20AC0" w14:textId="77777777" w:rsidR="007C3D2B" w:rsidRDefault="007C3D2B" w:rsidP="006A2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65112"/>
      <w:docPartObj>
        <w:docPartGallery w:val="Page Numbers (Top of Page)"/>
        <w:docPartUnique/>
      </w:docPartObj>
    </w:sdtPr>
    <w:sdtEndPr>
      <w:rPr>
        <w:noProof/>
      </w:rPr>
    </w:sdtEndPr>
    <w:sdtContent>
      <w:p w14:paraId="02755287" w14:textId="6B91FDE0" w:rsidR="00A60ED2" w:rsidRDefault="00A60ED2">
        <w:pPr>
          <w:pStyle w:val="Header"/>
          <w:jc w:val="center"/>
        </w:pPr>
        <w:r>
          <w:fldChar w:fldCharType="begin"/>
        </w:r>
        <w:r>
          <w:instrText xml:space="preserve"> PAGE   \* MERGEFORMAT </w:instrText>
        </w:r>
        <w:r>
          <w:fldChar w:fldCharType="separate"/>
        </w:r>
        <w:r w:rsidR="00455C9D">
          <w:rPr>
            <w:noProof/>
          </w:rPr>
          <w:t>7</w:t>
        </w:r>
        <w:r>
          <w:rPr>
            <w:noProof/>
          </w:rPr>
          <w:fldChar w:fldCharType="end"/>
        </w:r>
      </w:p>
    </w:sdtContent>
  </w:sdt>
  <w:p w14:paraId="69EBBDB0" w14:textId="77777777" w:rsidR="00A60ED2" w:rsidRDefault="00A60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0C93"/>
    <w:multiLevelType w:val="hybridMultilevel"/>
    <w:tmpl w:val="0000458C"/>
    <w:lvl w:ilvl="0" w:tplc="806893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A54"/>
    <w:rsid w:val="000228F5"/>
    <w:rsid w:val="00024C03"/>
    <w:rsid w:val="00030B82"/>
    <w:rsid w:val="00037962"/>
    <w:rsid w:val="000445A0"/>
    <w:rsid w:val="000539C7"/>
    <w:rsid w:val="00055DBB"/>
    <w:rsid w:val="00060815"/>
    <w:rsid w:val="00060BDC"/>
    <w:rsid w:val="000613EC"/>
    <w:rsid w:val="00075444"/>
    <w:rsid w:val="000824A2"/>
    <w:rsid w:val="00083145"/>
    <w:rsid w:val="0009059D"/>
    <w:rsid w:val="000C0A35"/>
    <w:rsid w:val="000E098F"/>
    <w:rsid w:val="000E369C"/>
    <w:rsid w:val="00104409"/>
    <w:rsid w:val="001052A1"/>
    <w:rsid w:val="001106A5"/>
    <w:rsid w:val="001261FF"/>
    <w:rsid w:val="00140475"/>
    <w:rsid w:val="00147F2A"/>
    <w:rsid w:val="00153A1A"/>
    <w:rsid w:val="0016688B"/>
    <w:rsid w:val="00173345"/>
    <w:rsid w:val="001735F7"/>
    <w:rsid w:val="00174470"/>
    <w:rsid w:val="001750C9"/>
    <w:rsid w:val="00175CF6"/>
    <w:rsid w:val="00175F82"/>
    <w:rsid w:val="0018019E"/>
    <w:rsid w:val="001801D4"/>
    <w:rsid w:val="00183A3D"/>
    <w:rsid w:val="001B0B22"/>
    <w:rsid w:val="001B140B"/>
    <w:rsid w:val="001B6FCC"/>
    <w:rsid w:val="001C4B1C"/>
    <w:rsid w:val="001D1BAA"/>
    <w:rsid w:val="001D4557"/>
    <w:rsid w:val="001F3B5E"/>
    <w:rsid w:val="002005D0"/>
    <w:rsid w:val="00220B7E"/>
    <w:rsid w:val="002227FD"/>
    <w:rsid w:val="00230E92"/>
    <w:rsid w:val="00235E09"/>
    <w:rsid w:val="00242229"/>
    <w:rsid w:val="00247D60"/>
    <w:rsid w:val="00257987"/>
    <w:rsid w:val="00294AC8"/>
    <w:rsid w:val="00295E4B"/>
    <w:rsid w:val="002A31E1"/>
    <w:rsid w:val="002B75FA"/>
    <w:rsid w:val="002D44BC"/>
    <w:rsid w:val="002F0128"/>
    <w:rsid w:val="002F4835"/>
    <w:rsid w:val="00301EE2"/>
    <w:rsid w:val="003205F3"/>
    <w:rsid w:val="0032148F"/>
    <w:rsid w:val="00334129"/>
    <w:rsid w:val="00350E4F"/>
    <w:rsid w:val="003616FD"/>
    <w:rsid w:val="00370CE3"/>
    <w:rsid w:val="0037165B"/>
    <w:rsid w:val="0037216F"/>
    <w:rsid w:val="00383910"/>
    <w:rsid w:val="003950D2"/>
    <w:rsid w:val="003A5F2F"/>
    <w:rsid w:val="003B63A4"/>
    <w:rsid w:val="003F7921"/>
    <w:rsid w:val="004007C9"/>
    <w:rsid w:val="00401249"/>
    <w:rsid w:val="004046B7"/>
    <w:rsid w:val="00437436"/>
    <w:rsid w:val="0044068B"/>
    <w:rsid w:val="00444086"/>
    <w:rsid w:val="004467C3"/>
    <w:rsid w:val="00455C9D"/>
    <w:rsid w:val="00460199"/>
    <w:rsid w:val="004A3336"/>
    <w:rsid w:val="004B53C1"/>
    <w:rsid w:val="004D7C32"/>
    <w:rsid w:val="004E087A"/>
    <w:rsid w:val="004E457D"/>
    <w:rsid w:val="004F1824"/>
    <w:rsid w:val="0050221E"/>
    <w:rsid w:val="00510005"/>
    <w:rsid w:val="00512CFD"/>
    <w:rsid w:val="0051597A"/>
    <w:rsid w:val="005223EE"/>
    <w:rsid w:val="00523EB8"/>
    <w:rsid w:val="0052586A"/>
    <w:rsid w:val="005305A6"/>
    <w:rsid w:val="00550FDA"/>
    <w:rsid w:val="00557A93"/>
    <w:rsid w:val="00557C7F"/>
    <w:rsid w:val="00576B2E"/>
    <w:rsid w:val="00577F83"/>
    <w:rsid w:val="005907D3"/>
    <w:rsid w:val="00592BCC"/>
    <w:rsid w:val="005A52DE"/>
    <w:rsid w:val="005B0ABB"/>
    <w:rsid w:val="005B0D5C"/>
    <w:rsid w:val="005B1D49"/>
    <w:rsid w:val="005B1D8E"/>
    <w:rsid w:val="005D10A2"/>
    <w:rsid w:val="005D3A6F"/>
    <w:rsid w:val="005D44A7"/>
    <w:rsid w:val="005E4A1D"/>
    <w:rsid w:val="005F3586"/>
    <w:rsid w:val="005F6885"/>
    <w:rsid w:val="006051AD"/>
    <w:rsid w:val="00605693"/>
    <w:rsid w:val="00620CBB"/>
    <w:rsid w:val="00644E0B"/>
    <w:rsid w:val="00667D64"/>
    <w:rsid w:val="006864C9"/>
    <w:rsid w:val="006904BE"/>
    <w:rsid w:val="00694EF5"/>
    <w:rsid w:val="006A2A54"/>
    <w:rsid w:val="006A3E9D"/>
    <w:rsid w:val="006B0D7C"/>
    <w:rsid w:val="006B200B"/>
    <w:rsid w:val="006B729B"/>
    <w:rsid w:val="006C1C82"/>
    <w:rsid w:val="006D44F1"/>
    <w:rsid w:val="006E5A2B"/>
    <w:rsid w:val="006F4472"/>
    <w:rsid w:val="006F467F"/>
    <w:rsid w:val="007049E1"/>
    <w:rsid w:val="0072785F"/>
    <w:rsid w:val="00732960"/>
    <w:rsid w:val="00733ACD"/>
    <w:rsid w:val="007358B0"/>
    <w:rsid w:val="007467E8"/>
    <w:rsid w:val="00746E69"/>
    <w:rsid w:val="00752A88"/>
    <w:rsid w:val="007533F4"/>
    <w:rsid w:val="00760248"/>
    <w:rsid w:val="0076444B"/>
    <w:rsid w:val="00770232"/>
    <w:rsid w:val="0077138A"/>
    <w:rsid w:val="00781E32"/>
    <w:rsid w:val="00793C91"/>
    <w:rsid w:val="007C31C7"/>
    <w:rsid w:val="007C36AC"/>
    <w:rsid w:val="007C3D2B"/>
    <w:rsid w:val="007E5015"/>
    <w:rsid w:val="007E5393"/>
    <w:rsid w:val="00805D87"/>
    <w:rsid w:val="00820528"/>
    <w:rsid w:val="008213F6"/>
    <w:rsid w:val="00822E02"/>
    <w:rsid w:val="00841B55"/>
    <w:rsid w:val="00844553"/>
    <w:rsid w:val="00851010"/>
    <w:rsid w:val="00851A2D"/>
    <w:rsid w:val="0085301E"/>
    <w:rsid w:val="0086717A"/>
    <w:rsid w:val="0087136F"/>
    <w:rsid w:val="00876C08"/>
    <w:rsid w:val="0088659A"/>
    <w:rsid w:val="00895872"/>
    <w:rsid w:val="00897008"/>
    <w:rsid w:val="008A0936"/>
    <w:rsid w:val="008A4529"/>
    <w:rsid w:val="008D28E9"/>
    <w:rsid w:val="008D3735"/>
    <w:rsid w:val="008D58FA"/>
    <w:rsid w:val="008E341F"/>
    <w:rsid w:val="008E3E2F"/>
    <w:rsid w:val="008E4AC6"/>
    <w:rsid w:val="008E657A"/>
    <w:rsid w:val="008F4284"/>
    <w:rsid w:val="00902423"/>
    <w:rsid w:val="00902F5D"/>
    <w:rsid w:val="00904443"/>
    <w:rsid w:val="0091207E"/>
    <w:rsid w:val="0091728F"/>
    <w:rsid w:val="009220A6"/>
    <w:rsid w:val="0092405F"/>
    <w:rsid w:val="009568A9"/>
    <w:rsid w:val="00956DAF"/>
    <w:rsid w:val="009847DC"/>
    <w:rsid w:val="0099330D"/>
    <w:rsid w:val="009969C8"/>
    <w:rsid w:val="009A6061"/>
    <w:rsid w:val="009A6956"/>
    <w:rsid w:val="009C403B"/>
    <w:rsid w:val="009C58E3"/>
    <w:rsid w:val="009D3865"/>
    <w:rsid w:val="009D4CCD"/>
    <w:rsid w:val="009D5011"/>
    <w:rsid w:val="009D5997"/>
    <w:rsid w:val="009E0ECB"/>
    <w:rsid w:val="009F5844"/>
    <w:rsid w:val="00A05246"/>
    <w:rsid w:val="00A11521"/>
    <w:rsid w:val="00A17971"/>
    <w:rsid w:val="00A402C5"/>
    <w:rsid w:val="00A53F50"/>
    <w:rsid w:val="00A60ED2"/>
    <w:rsid w:val="00A61763"/>
    <w:rsid w:val="00A6271F"/>
    <w:rsid w:val="00A65966"/>
    <w:rsid w:val="00A716F5"/>
    <w:rsid w:val="00A74D5A"/>
    <w:rsid w:val="00A95F52"/>
    <w:rsid w:val="00AA34EA"/>
    <w:rsid w:val="00AC61F4"/>
    <w:rsid w:val="00AD2C91"/>
    <w:rsid w:val="00AE704E"/>
    <w:rsid w:val="00B072FE"/>
    <w:rsid w:val="00B21016"/>
    <w:rsid w:val="00B7103D"/>
    <w:rsid w:val="00BC7DE6"/>
    <w:rsid w:val="00BE2242"/>
    <w:rsid w:val="00C00BF0"/>
    <w:rsid w:val="00C179DF"/>
    <w:rsid w:val="00C20829"/>
    <w:rsid w:val="00C33C60"/>
    <w:rsid w:val="00C45EBF"/>
    <w:rsid w:val="00C521B2"/>
    <w:rsid w:val="00C7308C"/>
    <w:rsid w:val="00C8210A"/>
    <w:rsid w:val="00CA10CE"/>
    <w:rsid w:val="00CA55D3"/>
    <w:rsid w:val="00CD0FF1"/>
    <w:rsid w:val="00CD532C"/>
    <w:rsid w:val="00CF26C9"/>
    <w:rsid w:val="00CF3034"/>
    <w:rsid w:val="00CF348E"/>
    <w:rsid w:val="00CF5297"/>
    <w:rsid w:val="00D035E7"/>
    <w:rsid w:val="00D072D6"/>
    <w:rsid w:val="00D114C1"/>
    <w:rsid w:val="00D211F0"/>
    <w:rsid w:val="00D24833"/>
    <w:rsid w:val="00D37619"/>
    <w:rsid w:val="00D46ACA"/>
    <w:rsid w:val="00D67B31"/>
    <w:rsid w:val="00D8423A"/>
    <w:rsid w:val="00D84C78"/>
    <w:rsid w:val="00D84CCB"/>
    <w:rsid w:val="00D934EE"/>
    <w:rsid w:val="00DC0421"/>
    <w:rsid w:val="00DC26EF"/>
    <w:rsid w:val="00DE15FB"/>
    <w:rsid w:val="00DF5D55"/>
    <w:rsid w:val="00DF5DC8"/>
    <w:rsid w:val="00E01C7C"/>
    <w:rsid w:val="00E205A5"/>
    <w:rsid w:val="00E254FB"/>
    <w:rsid w:val="00E26E6F"/>
    <w:rsid w:val="00E42C02"/>
    <w:rsid w:val="00E4466E"/>
    <w:rsid w:val="00E50648"/>
    <w:rsid w:val="00E77E6D"/>
    <w:rsid w:val="00E832FB"/>
    <w:rsid w:val="00E9059F"/>
    <w:rsid w:val="00E9189C"/>
    <w:rsid w:val="00E947D7"/>
    <w:rsid w:val="00EB6A5F"/>
    <w:rsid w:val="00EB76FD"/>
    <w:rsid w:val="00ED0EC1"/>
    <w:rsid w:val="00ED2C29"/>
    <w:rsid w:val="00ED4F42"/>
    <w:rsid w:val="00EE6242"/>
    <w:rsid w:val="00EE79E2"/>
    <w:rsid w:val="00F06AFD"/>
    <w:rsid w:val="00F17EE0"/>
    <w:rsid w:val="00F50D19"/>
    <w:rsid w:val="00F560B5"/>
    <w:rsid w:val="00F572D6"/>
    <w:rsid w:val="00F614F5"/>
    <w:rsid w:val="00F90231"/>
    <w:rsid w:val="00F94F85"/>
    <w:rsid w:val="00FB15B3"/>
    <w:rsid w:val="00FC2173"/>
    <w:rsid w:val="00FD1AD6"/>
    <w:rsid w:val="00FD6F37"/>
    <w:rsid w:val="00FE2876"/>
    <w:rsid w:val="00FF122C"/>
    <w:rsid w:val="00FF43A6"/>
    <w:rsid w:val="00FF46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A6FC2"/>
  <w15:chartTrackingRefBased/>
  <w15:docId w15:val="{6F43ECA1-2777-499F-9619-4482E0E9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54"/>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A2A54"/>
    <w:pPr>
      <w:jc w:val="center"/>
    </w:pPr>
    <w:rPr>
      <w:sz w:val="28"/>
      <w:szCs w:val="20"/>
      <w:lang w:eastAsia="en-US"/>
    </w:rPr>
  </w:style>
  <w:style w:type="character" w:customStyle="1" w:styleId="TitleChar">
    <w:name w:val="Title Char"/>
    <w:basedOn w:val="DefaultParagraphFont"/>
    <w:link w:val="Title"/>
    <w:rsid w:val="006A2A54"/>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6A2A54"/>
    <w:pPr>
      <w:tabs>
        <w:tab w:val="center" w:pos="4153"/>
        <w:tab w:val="right" w:pos="8306"/>
      </w:tabs>
    </w:pPr>
  </w:style>
  <w:style w:type="character" w:customStyle="1" w:styleId="HeaderChar">
    <w:name w:val="Header Char"/>
    <w:basedOn w:val="DefaultParagraphFont"/>
    <w:link w:val="Header"/>
    <w:uiPriority w:val="99"/>
    <w:rsid w:val="006A2A5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6A2A54"/>
    <w:pPr>
      <w:tabs>
        <w:tab w:val="center" w:pos="4153"/>
        <w:tab w:val="right" w:pos="8306"/>
      </w:tabs>
    </w:pPr>
  </w:style>
  <w:style w:type="character" w:customStyle="1" w:styleId="FooterChar">
    <w:name w:val="Footer Char"/>
    <w:basedOn w:val="DefaultParagraphFont"/>
    <w:link w:val="Footer"/>
    <w:uiPriority w:val="99"/>
    <w:rsid w:val="006A2A54"/>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C33C60"/>
    <w:rPr>
      <w:sz w:val="16"/>
      <w:szCs w:val="16"/>
    </w:rPr>
  </w:style>
  <w:style w:type="paragraph" w:styleId="CommentText">
    <w:name w:val="annotation text"/>
    <w:basedOn w:val="Normal"/>
    <w:link w:val="CommentTextChar"/>
    <w:uiPriority w:val="99"/>
    <w:unhideWhenUsed/>
    <w:rsid w:val="00C33C60"/>
    <w:rPr>
      <w:sz w:val="20"/>
      <w:szCs w:val="20"/>
    </w:rPr>
  </w:style>
  <w:style w:type="character" w:customStyle="1" w:styleId="CommentTextChar">
    <w:name w:val="Comment Text Char"/>
    <w:basedOn w:val="DefaultParagraphFont"/>
    <w:link w:val="CommentText"/>
    <w:uiPriority w:val="99"/>
    <w:rsid w:val="00C33C6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33C60"/>
    <w:rPr>
      <w:b/>
      <w:bCs/>
    </w:rPr>
  </w:style>
  <w:style w:type="character" w:customStyle="1" w:styleId="CommentSubjectChar">
    <w:name w:val="Comment Subject Char"/>
    <w:basedOn w:val="CommentTextChar"/>
    <w:link w:val="CommentSubject"/>
    <w:uiPriority w:val="99"/>
    <w:semiHidden/>
    <w:rsid w:val="00C33C60"/>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C33C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C60"/>
    <w:rPr>
      <w:rFonts w:ascii="Segoe UI" w:eastAsia="Times New Roman" w:hAnsi="Segoe UI" w:cs="Segoe UI"/>
      <w:sz w:val="18"/>
      <w:szCs w:val="18"/>
      <w:lang w:eastAsia="lv-LV"/>
    </w:rPr>
  </w:style>
  <w:style w:type="character" w:styleId="Hyperlink">
    <w:name w:val="Hyperlink"/>
    <w:basedOn w:val="DefaultParagraphFont"/>
    <w:uiPriority w:val="99"/>
    <w:unhideWhenUsed/>
    <w:rsid w:val="001735F7"/>
    <w:rPr>
      <w:color w:val="0563C1" w:themeColor="hyperlink"/>
      <w:u w:val="single"/>
    </w:rPr>
  </w:style>
  <w:style w:type="paragraph" w:styleId="FootnoteText">
    <w:name w:val="footnote text"/>
    <w:basedOn w:val="Normal"/>
    <w:link w:val="FootnoteTextChar"/>
    <w:uiPriority w:val="99"/>
    <w:semiHidden/>
    <w:unhideWhenUsed/>
    <w:rsid w:val="00A402C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A402C5"/>
    <w:rPr>
      <w:sz w:val="20"/>
      <w:szCs w:val="20"/>
    </w:rPr>
  </w:style>
  <w:style w:type="character" w:styleId="FootnoteReference">
    <w:name w:val="footnote reference"/>
    <w:basedOn w:val="DefaultParagraphFont"/>
    <w:uiPriority w:val="99"/>
    <w:semiHidden/>
    <w:unhideWhenUsed/>
    <w:rsid w:val="00A402C5"/>
    <w:rPr>
      <w:vertAlign w:val="superscript"/>
    </w:rPr>
  </w:style>
  <w:style w:type="paragraph" w:styleId="ListParagraph">
    <w:name w:val="List Paragraph"/>
    <w:basedOn w:val="Normal"/>
    <w:uiPriority w:val="34"/>
    <w:qFormat/>
    <w:rsid w:val="00F06AFD"/>
    <w:pPr>
      <w:ind w:left="720"/>
      <w:contextualSpacing/>
    </w:pPr>
  </w:style>
  <w:style w:type="paragraph" w:styleId="Revision">
    <w:name w:val="Revision"/>
    <w:hidden/>
    <w:uiPriority w:val="99"/>
    <w:semiHidden/>
    <w:rsid w:val="00DF5D55"/>
    <w:pPr>
      <w:spacing w:after="0"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1261FF"/>
    <w:rPr>
      <w:color w:val="605E5C"/>
      <w:shd w:val="clear" w:color="auto" w:fill="E1DFDD"/>
    </w:rPr>
  </w:style>
  <w:style w:type="paragraph" w:styleId="EndnoteText">
    <w:name w:val="endnote text"/>
    <w:basedOn w:val="Normal"/>
    <w:link w:val="EndnoteTextChar"/>
    <w:uiPriority w:val="99"/>
    <w:semiHidden/>
    <w:unhideWhenUsed/>
    <w:rsid w:val="001B6FCC"/>
    <w:rPr>
      <w:sz w:val="20"/>
      <w:szCs w:val="20"/>
    </w:rPr>
  </w:style>
  <w:style w:type="character" w:customStyle="1" w:styleId="EndnoteTextChar">
    <w:name w:val="Endnote Text Char"/>
    <w:basedOn w:val="DefaultParagraphFont"/>
    <w:link w:val="EndnoteText"/>
    <w:uiPriority w:val="99"/>
    <w:semiHidden/>
    <w:rsid w:val="001B6FCC"/>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1B6FCC"/>
    <w:rPr>
      <w:vertAlign w:val="superscript"/>
    </w:rPr>
  </w:style>
  <w:style w:type="character" w:styleId="UnresolvedMention">
    <w:name w:val="Unresolved Mention"/>
    <w:basedOn w:val="DefaultParagraphFont"/>
    <w:uiPriority w:val="99"/>
    <w:semiHidden/>
    <w:unhideWhenUsed/>
    <w:rsid w:val="00334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8190">
      <w:bodyDiv w:val="1"/>
      <w:marLeft w:val="0"/>
      <w:marRight w:val="0"/>
      <w:marTop w:val="0"/>
      <w:marBottom w:val="0"/>
      <w:divBdr>
        <w:top w:val="none" w:sz="0" w:space="0" w:color="auto"/>
        <w:left w:val="none" w:sz="0" w:space="0" w:color="auto"/>
        <w:bottom w:val="none" w:sz="0" w:space="0" w:color="auto"/>
        <w:right w:val="none" w:sz="0" w:space="0" w:color="auto"/>
      </w:divBdr>
    </w:div>
    <w:div w:id="184055595">
      <w:bodyDiv w:val="1"/>
      <w:marLeft w:val="0"/>
      <w:marRight w:val="0"/>
      <w:marTop w:val="0"/>
      <w:marBottom w:val="0"/>
      <w:divBdr>
        <w:top w:val="none" w:sz="0" w:space="0" w:color="auto"/>
        <w:left w:val="none" w:sz="0" w:space="0" w:color="auto"/>
        <w:bottom w:val="none" w:sz="0" w:space="0" w:color="auto"/>
        <w:right w:val="none" w:sz="0" w:space="0" w:color="auto"/>
      </w:divBdr>
    </w:div>
    <w:div w:id="557471027">
      <w:bodyDiv w:val="1"/>
      <w:marLeft w:val="0"/>
      <w:marRight w:val="0"/>
      <w:marTop w:val="0"/>
      <w:marBottom w:val="0"/>
      <w:divBdr>
        <w:top w:val="none" w:sz="0" w:space="0" w:color="auto"/>
        <w:left w:val="none" w:sz="0" w:space="0" w:color="auto"/>
        <w:bottom w:val="none" w:sz="0" w:space="0" w:color="auto"/>
        <w:right w:val="none" w:sz="0" w:space="0" w:color="auto"/>
      </w:divBdr>
    </w:div>
    <w:div w:id="646977518">
      <w:bodyDiv w:val="1"/>
      <w:marLeft w:val="0"/>
      <w:marRight w:val="0"/>
      <w:marTop w:val="0"/>
      <w:marBottom w:val="0"/>
      <w:divBdr>
        <w:top w:val="none" w:sz="0" w:space="0" w:color="auto"/>
        <w:left w:val="none" w:sz="0" w:space="0" w:color="auto"/>
        <w:bottom w:val="none" w:sz="0" w:space="0" w:color="auto"/>
        <w:right w:val="none" w:sz="0" w:space="0" w:color="auto"/>
      </w:divBdr>
    </w:div>
    <w:div w:id="719941022">
      <w:bodyDiv w:val="1"/>
      <w:marLeft w:val="0"/>
      <w:marRight w:val="0"/>
      <w:marTop w:val="0"/>
      <w:marBottom w:val="0"/>
      <w:divBdr>
        <w:top w:val="none" w:sz="0" w:space="0" w:color="auto"/>
        <w:left w:val="none" w:sz="0" w:space="0" w:color="auto"/>
        <w:bottom w:val="none" w:sz="0" w:space="0" w:color="auto"/>
        <w:right w:val="none" w:sz="0" w:space="0" w:color="auto"/>
      </w:divBdr>
    </w:div>
    <w:div w:id="720178987">
      <w:bodyDiv w:val="1"/>
      <w:marLeft w:val="0"/>
      <w:marRight w:val="0"/>
      <w:marTop w:val="0"/>
      <w:marBottom w:val="0"/>
      <w:divBdr>
        <w:top w:val="none" w:sz="0" w:space="0" w:color="auto"/>
        <w:left w:val="none" w:sz="0" w:space="0" w:color="auto"/>
        <w:bottom w:val="none" w:sz="0" w:space="0" w:color="auto"/>
        <w:right w:val="none" w:sz="0" w:space="0" w:color="auto"/>
      </w:divBdr>
    </w:div>
    <w:div w:id="790127832">
      <w:bodyDiv w:val="1"/>
      <w:marLeft w:val="0"/>
      <w:marRight w:val="0"/>
      <w:marTop w:val="0"/>
      <w:marBottom w:val="0"/>
      <w:divBdr>
        <w:top w:val="none" w:sz="0" w:space="0" w:color="auto"/>
        <w:left w:val="none" w:sz="0" w:space="0" w:color="auto"/>
        <w:bottom w:val="none" w:sz="0" w:space="0" w:color="auto"/>
        <w:right w:val="none" w:sz="0" w:space="0" w:color="auto"/>
      </w:divBdr>
    </w:div>
    <w:div w:id="883252312">
      <w:bodyDiv w:val="1"/>
      <w:marLeft w:val="0"/>
      <w:marRight w:val="0"/>
      <w:marTop w:val="0"/>
      <w:marBottom w:val="0"/>
      <w:divBdr>
        <w:top w:val="none" w:sz="0" w:space="0" w:color="auto"/>
        <w:left w:val="none" w:sz="0" w:space="0" w:color="auto"/>
        <w:bottom w:val="none" w:sz="0" w:space="0" w:color="auto"/>
        <w:right w:val="none" w:sz="0" w:space="0" w:color="auto"/>
      </w:divBdr>
    </w:div>
    <w:div w:id="938412526">
      <w:bodyDiv w:val="1"/>
      <w:marLeft w:val="0"/>
      <w:marRight w:val="0"/>
      <w:marTop w:val="0"/>
      <w:marBottom w:val="0"/>
      <w:divBdr>
        <w:top w:val="none" w:sz="0" w:space="0" w:color="auto"/>
        <w:left w:val="none" w:sz="0" w:space="0" w:color="auto"/>
        <w:bottom w:val="none" w:sz="0" w:space="0" w:color="auto"/>
        <w:right w:val="none" w:sz="0" w:space="0" w:color="auto"/>
      </w:divBdr>
    </w:div>
    <w:div w:id="1062174495">
      <w:bodyDiv w:val="1"/>
      <w:marLeft w:val="0"/>
      <w:marRight w:val="0"/>
      <w:marTop w:val="0"/>
      <w:marBottom w:val="0"/>
      <w:divBdr>
        <w:top w:val="none" w:sz="0" w:space="0" w:color="auto"/>
        <w:left w:val="none" w:sz="0" w:space="0" w:color="auto"/>
        <w:bottom w:val="none" w:sz="0" w:space="0" w:color="auto"/>
        <w:right w:val="none" w:sz="0" w:space="0" w:color="auto"/>
      </w:divBdr>
    </w:div>
    <w:div w:id="1067264170">
      <w:bodyDiv w:val="1"/>
      <w:marLeft w:val="0"/>
      <w:marRight w:val="0"/>
      <w:marTop w:val="0"/>
      <w:marBottom w:val="0"/>
      <w:divBdr>
        <w:top w:val="none" w:sz="0" w:space="0" w:color="auto"/>
        <w:left w:val="none" w:sz="0" w:space="0" w:color="auto"/>
        <w:bottom w:val="none" w:sz="0" w:space="0" w:color="auto"/>
        <w:right w:val="none" w:sz="0" w:space="0" w:color="auto"/>
      </w:divBdr>
    </w:div>
    <w:div w:id="1216162329">
      <w:bodyDiv w:val="1"/>
      <w:marLeft w:val="0"/>
      <w:marRight w:val="0"/>
      <w:marTop w:val="0"/>
      <w:marBottom w:val="0"/>
      <w:divBdr>
        <w:top w:val="none" w:sz="0" w:space="0" w:color="auto"/>
        <w:left w:val="none" w:sz="0" w:space="0" w:color="auto"/>
        <w:bottom w:val="none" w:sz="0" w:space="0" w:color="auto"/>
        <w:right w:val="none" w:sz="0" w:space="0" w:color="auto"/>
      </w:divBdr>
    </w:div>
    <w:div w:id="1228345426">
      <w:bodyDiv w:val="1"/>
      <w:marLeft w:val="0"/>
      <w:marRight w:val="0"/>
      <w:marTop w:val="0"/>
      <w:marBottom w:val="0"/>
      <w:divBdr>
        <w:top w:val="none" w:sz="0" w:space="0" w:color="auto"/>
        <w:left w:val="none" w:sz="0" w:space="0" w:color="auto"/>
        <w:bottom w:val="none" w:sz="0" w:space="0" w:color="auto"/>
        <w:right w:val="none" w:sz="0" w:space="0" w:color="auto"/>
      </w:divBdr>
    </w:div>
    <w:div w:id="1250458284">
      <w:bodyDiv w:val="1"/>
      <w:marLeft w:val="0"/>
      <w:marRight w:val="0"/>
      <w:marTop w:val="0"/>
      <w:marBottom w:val="0"/>
      <w:divBdr>
        <w:top w:val="none" w:sz="0" w:space="0" w:color="auto"/>
        <w:left w:val="none" w:sz="0" w:space="0" w:color="auto"/>
        <w:bottom w:val="none" w:sz="0" w:space="0" w:color="auto"/>
        <w:right w:val="none" w:sz="0" w:space="0" w:color="auto"/>
      </w:divBdr>
    </w:div>
    <w:div w:id="1465080524">
      <w:bodyDiv w:val="1"/>
      <w:marLeft w:val="0"/>
      <w:marRight w:val="0"/>
      <w:marTop w:val="0"/>
      <w:marBottom w:val="0"/>
      <w:divBdr>
        <w:top w:val="none" w:sz="0" w:space="0" w:color="auto"/>
        <w:left w:val="none" w:sz="0" w:space="0" w:color="auto"/>
        <w:bottom w:val="none" w:sz="0" w:space="0" w:color="auto"/>
        <w:right w:val="none" w:sz="0" w:space="0" w:color="auto"/>
      </w:divBdr>
    </w:div>
    <w:div w:id="1487164588">
      <w:bodyDiv w:val="1"/>
      <w:marLeft w:val="0"/>
      <w:marRight w:val="0"/>
      <w:marTop w:val="0"/>
      <w:marBottom w:val="0"/>
      <w:divBdr>
        <w:top w:val="none" w:sz="0" w:space="0" w:color="auto"/>
        <w:left w:val="none" w:sz="0" w:space="0" w:color="auto"/>
        <w:bottom w:val="none" w:sz="0" w:space="0" w:color="auto"/>
        <w:right w:val="none" w:sz="0" w:space="0" w:color="auto"/>
      </w:divBdr>
    </w:div>
    <w:div w:id="1553880343">
      <w:bodyDiv w:val="1"/>
      <w:marLeft w:val="0"/>
      <w:marRight w:val="0"/>
      <w:marTop w:val="0"/>
      <w:marBottom w:val="0"/>
      <w:divBdr>
        <w:top w:val="none" w:sz="0" w:space="0" w:color="auto"/>
        <w:left w:val="none" w:sz="0" w:space="0" w:color="auto"/>
        <w:bottom w:val="none" w:sz="0" w:space="0" w:color="auto"/>
        <w:right w:val="none" w:sz="0" w:space="0" w:color="auto"/>
      </w:divBdr>
    </w:div>
    <w:div w:id="1777285792">
      <w:bodyDiv w:val="1"/>
      <w:marLeft w:val="0"/>
      <w:marRight w:val="0"/>
      <w:marTop w:val="0"/>
      <w:marBottom w:val="0"/>
      <w:divBdr>
        <w:top w:val="none" w:sz="0" w:space="0" w:color="auto"/>
        <w:left w:val="none" w:sz="0" w:space="0" w:color="auto"/>
        <w:bottom w:val="none" w:sz="0" w:space="0" w:color="auto"/>
        <w:right w:val="none" w:sz="0" w:space="0" w:color="auto"/>
      </w:divBdr>
    </w:div>
    <w:div w:id="1906065050">
      <w:bodyDiv w:val="1"/>
      <w:marLeft w:val="0"/>
      <w:marRight w:val="0"/>
      <w:marTop w:val="0"/>
      <w:marBottom w:val="0"/>
      <w:divBdr>
        <w:top w:val="none" w:sz="0" w:space="0" w:color="auto"/>
        <w:left w:val="none" w:sz="0" w:space="0" w:color="auto"/>
        <w:bottom w:val="none" w:sz="0" w:space="0" w:color="auto"/>
        <w:right w:val="none" w:sz="0" w:space="0" w:color="auto"/>
      </w:divBdr>
    </w:div>
    <w:div w:id="210391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6A502-2CBA-4160-8BA1-5685D46A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8488</Words>
  <Characters>4839</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Izgl'itibas un zinatnes ministrija</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Ance Rudzīte</dc:creator>
  <cp:keywords/>
  <dc:description/>
  <cp:lastModifiedBy>Ance Rudzīte</cp:lastModifiedBy>
  <cp:revision>9</cp:revision>
  <cp:lastPrinted>2020-11-13T10:20:00Z</cp:lastPrinted>
  <dcterms:created xsi:type="dcterms:W3CDTF">2021-05-18T09:09:00Z</dcterms:created>
  <dcterms:modified xsi:type="dcterms:W3CDTF">2021-05-27T20:53:00Z</dcterms:modified>
</cp:coreProperties>
</file>