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6C4DC" w14:textId="7283CE0F" w:rsidR="009F5177" w:rsidRPr="009A4D8E" w:rsidRDefault="009F5177" w:rsidP="003D3331">
      <w:pPr>
        <w:spacing w:after="0" w:line="240" w:lineRule="auto"/>
        <w:jc w:val="right"/>
        <w:rPr>
          <w:rFonts w:ascii="Times New Roman" w:hAnsi="Times New Roman" w:cs="Times New Roman"/>
          <w:i/>
          <w:sz w:val="24"/>
          <w:szCs w:val="24"/>
        </w:rPr>
      </w:pPr>
      <w:r w:rsidRPr="009A4D8E">
        <w:rPr>
          <w:rFonts w:ascii="Times New Roman" w:hAnsi="Times New Roman" w:cs="Times New Roman"/>
          <w:i/>
          <w:sz w:val="24"/>
          <w:szCs w:val="24"/>
        </w:rPr>
        <w:t>Projekts</w:t>
      </w:r>
    </w:p>
    <w:p w14:paraId="0CFE01BE" w14:textId="006BD207" w:rsidR="002A5048" w:rsidRPr="006913F3" w:rsidRDefault="00835569" w:rsidP="00A04C15">
      <w:pPr>
        <w:spacing w:after="0" w:line="240" w:lineRule="auto"/>
        <w:jc w:val="center"/>
        <w:rPr>
          <w:rFonts w:ascii="Times New Roman" w:hAnsi="Times New Roman" w:cs="Times New Roman"/>
          <w:b/>
          <w:sz w:val="24"/>
          <w:szCs w:val="24"/>
        </w:rPr>
      </w:pPr>
      <w:r w:rsidRPr="006913F3">
        <w:rPr>
          <w:rFonts w:ascii="Times New Roman" w:hAnsi="Times New Roman" w:cs="Times New Roman"/>
          <w:b/>
          <w:sz w:val="24"/>
          <w:szCs w:val="24"/>
        </w:rPr>
        <w:t>Informatīvais ziņojums “</w:t>
      </w:r>
      <w:r w:rsidR="00FE54C1" w:rsidRPr="006913F3">
        <w:rPr>
          <w:rFonts w:ascii="Times New Roman" w:hAnsi="Times New Roman" w:cs="Times New Roman"/>
          <w:b/>
          <w:sz w:val="24"/>
          <w:szCs w:val="24"/>
        </w:rPr>
        <w:t>Zinātnes</w:t>
      </w:r>
      <w:r w:rsidR="0022278B" w:rsidRPr="006913F3">
        <w:rPr>
          <w:rFonts w:ascii="Times New Roman" w:hAnsi="Times New Roman" w:cs="Times New Roman"/>
          <w:b/>
          <w:sz w:val="24"/>
          <w:szCs w:val="24"/>
        </w:rPr>
        <w:t xml:space="preserve"> un augstākās izglītības</w:t>
      </w:r>
      <w:r w:rsidR="00FE54C1" w:rsidRPr="006913F3">
        <w:rPr>
          <w:rFonts w:ascii="Times New Roman" w:hAnsi="Times New Roman" w:cs="Times New Roman"/>
          <w:b/>
          <w:sz w:val="24"/>
          <w:szCs w:val="24"/>
        </w:rPr>
        <w:t xml:space="preserve"> finansējuma sasaiste ar zinātnisko institūciju starptautiskā </w:t>
      </w:r>
      <w:r w:rsidR="00EA4EEA">
        <w:rPr>
          <w:rFonts w:ascii="Times New Roman" w:hAnsi="Times New Roman" w:cs="Times New Roman"/>
          <w:b/>
          <w:sz w:val="24"/>
          <w:szCs w:val="24"/>
        </w:rPr>
        <w:t>novērtējuma</w:t>
      </w:r>
      <w:r w:rsidR="00FE54C1" w:rsidRPr="006913F3">
        <w:rPr>
          <w:rFonts w:ascii="Times New Roman" w:hAnsi="Times New Roman" w:cs="Times New Roman"/>
          <w:b/>
          <w:sz w:val="24"/>
          <w:szCs w:val="24"/>
        </w:rPr>
        <w:t xml:space="preserve"> rezultātiem</w:t>
      </w:r>
      <w:r w:rsidRPr="006913F3">
        <w:rPr>
          <w:rFonts w:ascii="Times New Roman" w:hAnsi="Times New Roman" w:cs="Times New Roman"/>
          <w:b/>
          <w:sz w:val="24"/>
          <w:szCs w:val="24"/>
        </w:rPr>
        <w:t>”</w:t>
      </w:r>
    </w:p>
    <w:p w14:paraId="290B9218" w14:textId="77777777" w:rsidR="00FE54C1" w:rsidRPr="006913F3" w:rsidRDefault="00FE54C1" w:rsidP="00A04C15">
      <w:pPr>
        <w:spacing w:after="0" w:line="240" w:lineRule="auto"/>
        <w:jc w:val="both"/>
        <w:rPr>
          <w:rFonts w:ascii="Times New Roman" w:hAnsi="Times New Roman" w:cs="Times New Roman"/>
          <w:sz w:val="24"/>
          <w:szCs w:val="24"/>
        </w:rPr>
      </w:pPr>
    </w:p>
    <w:p w14:paraId="3BF07836" w14:textId="12B6BD0C" w:rsidR="00FE54C1" w:rsidRPr="006913F3" w:rsidRDefault="00FE54C1" w:rsidP="00A04C15">
      <w:pPr>
        <w:spacing w:after="0" w:line="240" w:lineRule="auto"/>
        <w:jc w:val="center"/>
        <w:rPr>
          <w:rFonts w:ascii="Times New Roman" w:hAnsi="Times New Roman" w:cs="Times New Roman"/>
          <w:b/>
          <w:sz w:val="24"/>
          <w:szCs w:val="24"/>
        </w:rPr>
      </w:pPr>
      <w:r w:rsidRPr="006913F3">
        <w:rPr>
          <w:rFonts w:ascii="Times New Roman" w:hAnsi="Times New Roman" w:cs="Times New Roman"/>
          <w:b/>
          <w:sz w:val="24"/>
          <w:szCs w:val="24"/>
        </w:rPr>
        <w:t>Ievads</w:t>
      </w:r>
    </w:p>
    <w:p w14:paraId="077F20D3" w14:textId="686A2FAE" w:rsidR="00FE54C1" w:rsidRPr="006913F3" w:rsidRDefault="00FE54C1"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Ministru kabineta </w:t>
      </w:r>
      <w:r w:rsidR="009F5177" w:rsidRPr="009F5177">
        <w:rPr>
          <w:rFonts w:ascii="Times New Roman" w:hAnsi="Times New Roman" w:cs="Times New Roman"/>
          <w:sz w:val="24"/>
          <w:szCs w:val="24"/>
        </w:rPr>
        <w:t>2018.gada 2.oktobra protokollēmuma (prot. Nr.</w:t>
      </w:r>
      <w:r w:rsidR="009F5177" w:rsidRPr="00F048F0">
        <w:rPr>
          <w:rFonts w:ascii="Times New Roman" w:hAnsi="Times New Roman" w:cs="Times New Roman"/>
          <w:sz w:val="24"/>
          <w:szCs w:val="24"/>
        </w:rPr>
        <w:t xml:space="preserve">45 </w:t>
      </w:r>
      <w:bookmarkStart w:id="0" w:name="23"/>
      <w:r w:rsidR="009F5177" w:rsidRPr="00F048F0">
        <w:rPr>
          <w:rFonts w:ascii="Times New Roman" w:hAnsi="Times New Roman" w:cs="Times New Roman"/>
          <w:bCs/>
          <w:sz w:val="24"/>
          <w:szCs w:val="24"/>
          <w:shd w:val="clear" w:color="auto" w:fill="FFFFFF"/>
        </w:rPr>
        <w:t>23.§</w:t>
      </w:r>
      <w:bookmarkEnd w:id="0"/>
      <w:r w:rsidR="009F5177" w:rsidRPr="00F048F0">
        <w:rPr>
          <w:rFonts w:ascii="Times New Roman" w:hAnsi="Times New Roman" w:cs="Times New Roman"/>
          <w:bCs/>
          <w:sz w:val="24"/>
          <w:szCs w:val="24"/>
          <w:shd w:val="clear" w:color="auto" w:fill="FFFFFF"/>
        </w:rPr>
        <w:t>)</w:t>
      </w:r>
      <w:r w:rsidR="009F5177" w:rsidRPr="00F048F0">
        <w:rPr>
          <w:rFonts w:ascii="Times New Roman" w:hAnsi="Times New Roman" w:cs="Times New Roman"/>
          <w:sz w:val="24"/>
          <w:szCs w:val="24"/>
        </w:rPr>
        <w:t>“</w:t>
      </w:r>
      <w:r w:rsidR="009F5177" w:rsidRPr="009F5177">
        <w:rPr>
          <w:rFonts w:ascii="Times New Roman" w:hAnsi="Times New Roman" w:cs="Times New Roman"/>
          <w:color w:val="2A2A2A"/>
          <w:sz w:val="24"/>
          <w:szCs w:val="24"/>
          <w:shd w:val="clear" w:color="auto" w:fill="FFFFFF"/>
        </w:rPr>
        <w:t>Noteikumu projekts “</w:t>
      </w:r>
      <w:r w:rsidRPr="009F5177">
        <w:rPr>
          <w:rFonts w:ascii="Times New Roman" w:hAnsi="Times New Roman" w:cs="Times New Roman"/>
          <w:sz w:val="24"/>
          <w:szCs w:val="24"/>
        </w:rPr>
        <w:t xml:space="preserve"> 3.punkts nosaka Izglītī</w:t>
      </w:r>
      <w:r w:rsidRPr="006913F3">
        <w:rPr>
          <w:rFonts w:ascii="Times New Roman" w:hAnsi="Times New Roman" w:cs="Times New Roman"/>
          <w:sz w:val="24"/>
          <w:szCs w:val="24"/>
        </w:rPr>
        <w:t>bas un zinātnes ministrijai (turpmāk – ministrija), ņemot vērā 2019. gadā veikto starptautisko novērtējumu, sešu mēnešu laikā no starptautiskā novērtējuma pabeigšanas dienas sagatavot un izglītības un zinātnes ministram iesniegt izskatīšanai Ministru kabinetā informatīvo ziņojumu par turpmāko publiskā finansējuma sasaisti ar starptautiskā novērtējuma rezultātiem, tajā skaitā, aprēķinot un piešķirot bāzes finansējumu zinātnisko institūciju reģistrā reģistrētajiem valsts zinātniskajiem institūtiem, valsts augstskolām, valsts augstskolu zinātniskajiem institūtiem, tai skaitā valsts dibināto universitāšu zinātniskajiem institūtiem – atvasinātām publiskām personām, tostarp ievērojot, ka starptautiskais novērtējums ir veikts valsts augstskolu vērtējamām vienībām. Balsto</w:t>
      </w:r>
      <w:r w:rsidR="005C26B2" w:rsidRPr="006913F3">
        <w:rPr>
          <w:rFonts w:ascii="Times New Roman" w:hAnsi="Times New Roman" w:cs="Times New Roman"/>
          <w:sz w:val="24"/>
          <w:szCs w:val="24"/>
        </w:rPr>
        <w:t xml:space="preserve">ties uz šo </w:t>
      </w:r>
      <w:r w:rsidR="00EA4EEA">
        <w:rPr>
          <w:rFonts w:ascii="Times New Roman" w:hAnsi="Times New Roman" w:cs="Times New Roman"/>
          <w:sz w:val="24"/>
          <w:szCs w:val="24"/>
        </w:rPr>
        <w:t>uzdevumu</w:t>
      </w:r>
      <w:r w:rsidR="005C26B2" w:rsidRPr="006913F3">
        <w:rPr>
          <w:rFonts w:ascii="Times New Roman" w:hAnsi="Times New Roman" w:cs="Times New Roman"/>
          <w:sz w:val="24"/>
          <w:szCs w:val="24"/>
        </w:rPr>
        <w:t xml:space="preserve"> un to, ka 2021.</w:t>
      </w:r>
      <w:r w:rsidR="003C632E">
        <w:rPr>
          <w:rFonts w:ascii="Times New Roman" w:hAnsi="Times New Roman" w:cs="Times New Roman"/>
          <w:sz w:val="24"/>
          <w:szCs w:val="24"/>
        </w:rPr>
        <w:t xml:space="preserve"> </w:t>
      </w:r>
      <w:r w:rsidR="005C26B2" w:rsidRPr="006913F3">
        <w:rPr>
          <w:rFonts w:ascii="Times New Roman" w:hAnsi="Times New Roman" w:cs="Times New Roman"/>
          <w:sz w:val="24"/>
          <w:szCs w:val="24"/>
        </w:rPr>
        <w:t>gada 17.</w:t>
      </w:r>
      <w:r w:rsidR="003C632E">
        <w:rPr>
          <w:rFonts w:ascii="Times New Roman" w:hAnsi="Times New Roman" w:cs="Times New Roman"/>
          <w:sz w:val="24"/>
          <w:szCs w:val="24"/>
        </w:rPr>
        <w:t xml:space="preserve"> </w:t>
      </w:r>
      <w:r w:rsidR="005C26B2" w:rsidRPr="006913F3">
        <w:rPr>
          <w:rFonts w:ascii="Times New Roman" w:hAnsi="Times New Roman" w:cs="Times New Roman"/>
          <w:sz w:val="24"/>
          <w:szCs w:val="24"/>
        </w:rPr>
        <w:t xml:space="preserve">martā tika noslēgts kārtējais starptautiskais </w:t>
      </w:r>
      <w:r w:rsidR="00835FF8">
        <w:rPr>
          <w:rFonts w:ascii="Times New Roman" w:hAnsi="Times New Roman" w:cs="Times New Roman"/>
          <w:sz w:val="24"/>
          <w:szCs w:val="24"/>
        </w:rPr>
        <w:t>no</w:t>
      </w:r>
      <w:r w:rsidR="005C26B2" w:rsidRPr="006913F3">
        <w:rPr>
          <w:rFonts w:ascii="Times New Roman" w:hAnsi="Times New Roman" w:cs="Times New Roman"/>
          <w:sz w:val="24"/>
          <w:szCs w:val="24"/>
        </w:rPr>
        <w:t xml:space="preserve">vērtējums, </w:t>
      </w:r>
      <w:r w:rsidRPr="006913F3">
        <w:rPr>
          <w:rFonts w:ascii="Times New Roman" w:hAnsi="Times New Roman" w:cs="Times New Roman"/>
          <w:sz w:val="24"/>
          <w:szCs w:val="24"/>
        </w:rPr>
        <w:t xml:space="preserve">ministrija ir sagatavojusi informatīvā ziņojuma projektu par </w:t>
      </w:r>
      <w:r w:rsidR="005C26B2" w:rsidRPr="006913F3">
        <w:rPr>
          <w:rFonts w:ascii="Times New Roman" w:hAnsi="Times New Roman" w:cs="Times New Roman"/>
          <w:sz w:val="24"/>
          <w:szCs w:val="24"/>
        </w:rPr>
        <w:t>starptautiskā novērtējuma sasaisti ar tālāko zinātnes</w:t>
      </w:r>
      <w:r w:rsidR="004044EA" w:rsidRPr="006913F3">
        <w:rPr>
          <w:rFonts w:ascii="Times New Roman" w:hAnsi="Times New Roman" w:cs="Times New Roman"/>
          <w:sz w:val="24"/>
          <w:szCs w:val="24"/>
        </w:rPr>
        <w:t xml:space="preserve"> un arī augstākās izglītības</w:t>
      </w:r>
      <w:r w:rsidR="005C26B2" w:rsidRPr="006913F3">
        <w:rPr>
          <w:rFonts w:ascii="Times New Roman" w:hAnsi="Times New Roman" w:cs="Times New Roman"/>
          <w:sz w:val="24"/>
          <w:szCs w:val="24"/>
        </w:rPr>
        <w:t xml:space="preserve"> finansējumu Latvijā.</w:t>
      </w:r>
    </w:p>
    <w:p w14:paraId="0A466B25" w14:textId="2678AB78" w:rsidR="00413386" w:rsidRPr="006913F3" w:rsidRDefault="00DC243F" w:rsidP="00FA2E9C">
      <w:pPr>
        <w:spacing w:after="0" w:line="240" w:lineRule="auto"/>
        <w:ind w:firstLine="709"/>
        <w:jc w:val="both"/>
        <w:rPr>
          <w:rFonts w:ascii="Times New Roman" w:hAnsi="Times New Roman" w:cs="Times New Roman"/>
          <w:sz w:val="24"/>
          <w:szCs w:val="24"/>
        </w:rPr>
      </w:pPr>
      <w:r w:rsidRPr="006913F3">
        <w:rPr>
          <w:rFonts w:ascii="Times New Roman" w:hAnsi="Times New Roman" w:cs="Times New Roman"/>
          <w:sz w:val="24"/>
          <w:szCs w:val="24"/>
        </w:rPr>
        <w:t>Zinātnes bāzes finansējuma</w:t>
      </w:r>
      <w:r w:rsidR="004044EA" w:rsidRPr="006913F3">
        <w:rPr>
          <w:rFonts w:ascii="Times New Roman" w:hAnsi="Times New Roman" w:cs="Times New Roman"/>
          <w:sz w:val="24"/>
          <w:szCs w:val="24"/>
        </w:rPr>
        <w:t xml:space="preserve"> izmaiņas ir nepieciešams veikt</w:t>
      </w:r>
      <w:r w:rsidR="002007D6">
        <w:rPr>
          <w:rFonts w:ascii="Times New Roman" w:hAnsi="Times New Roman" w:cs="Times New Roman"/>
          <w:sz w:val="24"/>
          <w:szCs w:val="24"/>
        </w:rPr>
        <w:t xml:space="preserve">, lai nodrošinātu sekojošus uzlabojumus </w:t>
      </w:r>
      <w:r w:rsidR="00413386" w:rsidRPr="006913F3">
        <w:rPr>
          <w:rFonts w:ascii="Times New Roman" w:hAnsi="Times New Roman" w:cs="Times New Roman"/>
          <w:sz w:val="24"/>
          <w:szCs w:val="24"/>
        </w:rPr>
        <w:t>apakšprogrammas</w:t>
      </w:r>
      <w:r w:rsidR="002007D6">
        <w:rPr>
          <w:rFonts w:ascii="Times New Roman" w:hAnsi="Times New Roman" w:cs="Times New Roman"/>
          <w:sz w:val="24"/>
          <w:szCs w:val="24"/>
        </w:rPr>
        <w:t xml:space="preserve"> ieviešanā</w:t>
      </w:r>
      <w:r w:rsidR="004044EA" w:rsidRPr="006913F3">
        <w:rPr>
          <w:rStyle w:val="FootnoteReference"/>
          <w:rFonts w:ascii="Times New Roman" w:hAnsi="Times New Roman" w:cs="Times New Roman"/>
          <w:sz w:val="24"/>
          <w:szCs w:val="24"/>
        </w:rPr>
        <w:footnoteReference w:id="1"/>
      </w:r>
      <w:r w:rsidR="00413386" w:rsidRPr="006913F3">
        <w:rPr>
          <w:rFonts w:ascii="Times New Roman" w:hAnsi="Times New Roman" w:cs="Times New Roman"/>
          <w:sz w:val="24"/>
          <w:szCs w:val="24"/>
        </w:rPr>
        <w:t>:</w:t>
      </w:r>
    </w:p>
    <w:p w14:paraId="4542861F" w14:textId="77777777" w:rsidR="00A04C15" w:rsidRDefault="00FA2E9C" w:rsidP="00D83A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007D6" w:rsidRPr="00FA2E9C">
        <w:rPr>
          <w:rFonts w:ascii="Times New Roman" w:hAnsi="Times New Roman" w:cs="Times New Roman"/>
          <w:sz w:val="24"/>
          <w:szCs w:val="24"/>
        </w:rPr>
        <w:t>a</w:t>
      </w:r>
      <w:r w:rsidR="00B251D4" w:rsidRPr="00FA2E9C">
        <w:rPr>
          <w:rFonts w:ascii="Times New Roman" w:hAnsi="Times New Roman" w:cs="Times New Roman"/>
          <w:sz w:val="24"/>
          <w:szCs w:val="24"/>
        </w:rPr>
        <w:t>dministratīvā</w:t>
      </w:r>
      <w:r w:rsidR="00292FE6" w:rsidRPr="00FA2E9C">
        <w:rPr>
          <w:rFonts w:ascii="Times New Roman" w:hAnsi="Times New Roman" w:cs="Times New Roman"/>
          <w:sz w:val="24"/>
          <w:szCs w:val="24"/>
        </w:rPr>
        <w:t xml:space="preserve"> sloga mazināšana</w:t>
      </w:r>
      <w:r w:rsidR="00654B40" w:rsidRPr="00FA2E9C">
        <w:rPr>
          <w:rFonts w:ascii="Times New Roman" w:hAnsi="Times New Roman" w:cs="Times New Roman"/>
          <w:sz w:val="24"/>
          <w:szCs w:val="24"/>
        </w:rPr>
        <w:t xml:space="preserve"> (</w:t>
      </w:r>
      <w:r w:rsidR="00413386" w:rsidRPr="00FA2E9C">
        <w:rPr>
          <w:rFonts w:ascii="Times New Roman" w:hAnsi="Times New Roman" w:cs="Times New Roman"/>
          <w:sz w:val="24"/>
          <w:szCs w:val="24"/>
        </w:rPr>
        <w:t xml:space="preserve">no </w:t>
      </w:r>
      <w:r w:rsidR="004044EA" w:rsidRPr="00FA2E9C">
        <w:rPr>
          <w:rFonts w:ascii="Times New Roman" w:hAnsi="Times New Roman" w:cs="Times New Roman"/>
          <w:sz w:val="24"/>
          <w:szCs w:val="24"/>
        </w:rPr>
        <w:t>administratīvi smagnēja</w:t>
      </w:r>
      <w:r w:rsidR="00413386" w:rsidRPr="00FA2E9C">
        <w:rPr>
          <w:rFonts w:ascii="Times New Roman" w:hAnsi="Times New Roman" w:cs="Times New Roman"/>
          <w:sz w:val="24"/>
          <w:szCs w:val="24"/>
        </w:rPr>
        <w:t xml:space="preserve"> audita u</w:t>
      </w:r>
      <w:r w:rsidR="00654B40" w:rsidRPr="00FA2E9C">
        <w:rPr>
          <w:rFonts w:ascii="Times New Roman" w:hAnsi="Times New Roman" w:cs="Times New Roman"/>
          <w:sz w:val="24"/>
          <w:szCs w:val="24"/>
        </w:rPr>
        <w:t>z viegli pārbaudāmu informāciju);</w:t>
      </w:r>
    </w:p>
    <w:p w14:paraId="0394176C" w14:textId="77777777" w:rsidR="00A04C15" w:rsidRDefault="00FA2E9C" w:rsidP="00D83A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007D6" w:rsidRPr="00FA2E9C">
        <w:rPr>
          <w:rFonts w:ascii="Times New Roman" w:hAnsi="Times New Roman" w:cs="Times New Roman"/>
          <w:sz w:val="24"/>
          <w:szCs w:val="24"/>
        </w:rPr>
        <w:t>l</w:t>
      </w:r>
      <w:r w:rsidR="00292FE6" w:rsidRPr="00FA2E9C">
        <w:rPr>
          <w:rFonts w:ascii="Times New Roman" w:hAnsi="Times New Roman" w:cs="Times New Roman"/>
          <w:sz w:val="24"/>
          <w:szCs w:val="24"/>
        </w:rPr>
        <w:t>ielāks</w:t>
      </w:r>
      <w:r w:rsidR="004044EA" w:rsidRPr="00FA2E9C">
        <w:rPr>
          <w:rFonts w:ascii="Times New Roman" w:hAnsi="Times New Roman" w:cs="Times New Roman"/>
          <w:sz w:val="24"/>
          <w:szCs w:val="24"/>
        </w:rPr>
        <w:t xml:space="preserve"> c</w:t>
      </w:r>
      <w:r w:rsidR="00292FE6" w:rsidRPr="00FA2E9C">
        <w:rPr>
          <w:rFonts w:ascii="Times New Roman" w:hAnsi="Times New Roman" w:cs="Times New Roman"/>
          <w:sz w:val="24"/>
          <w:szCs w:val="24"/>
        </w:rPr>
        <w:t>aurspīdīgums</w:t>
      </w:r>
      <w:r w:rsidR="00413386" w:rsidRPr="00FA2E9C">
        <w:rPr>
          <w:rFonts w:ascii="Times New Roman" w:hAnsi="Times New Roman" w:cs="Times New Roman"/>
          <w:sz w:val="24"/>
          <w:szCs w:val="24"/>
        </w:rPr>
        <w:t xml:space="preserve"> (vairums informācijas no publiski pieejamām datubāzēm, vieglāka metodoloģija finansējuma sadalei)</w:t>
      </w:r>
      <w:r w:rsidR="00654B40" w:rsidRPr="00FA2E9C">
        <w:rPr>
          <w:rFonts w:ascii="Times New Roman" w:hAnsi="Times New Roman" w:cs="Times New Roman"/>
          <w:sz w:val="24"/>
          <w:szCs w:val="24"/>
        </w:rPr>
        <w:t>;</w:t>
      </w:r>
    </w:p>
    <w:p w14:paraId="20F8BF95" w14:textId="63532967" w:rsidR="00413386" w:rsidRPr="00FA2E9C" w:rsidRDefault="00FA2E9C" w:rsidP="00D83A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007D6" w:rsidRPr="00FA2E9C">
        <w:rPr>
          <w:rFonts w:ascii="Times New Roman" w:hAnsi="Times New Roman" w:cs="Times New Roman"/>
          <w:sz w:val="24"/>
          <w:szCs w:val="24"/>
        </w:rPr>
        <w:t>l</w:t>
      </w:r>
      <w:r w:rsidR="00292FE6" w:rsidRPr="00FA2E9C">
        <w:rPr>
          <w:rFonts w:ascii="Times New Roman" w:hAnsi="Times New Roman" w:cs="Times New Roman"/>
          <w:sz w:val="24"/>
          <w:szCs w:val="24"/>
        </w:rPr>
        <w:t>ielāka</w:t>
      </w:r>
      <w:r w:rsidR="00413386" w:rsidRPr="00FA2E9C">
        <w:rPr>
          <w:rFonts w:ascii="Times New Roman" w:hAnsi="Times New Roman" w:cs="Times New Roman"/>
          <w:sz w:val="24"/>
          <w:szCs w:val="24"/>
        </w:rPr>
        <w:t xml:space="preserve"> </w:t>
      </w:r>
      <w:r w:rsidR="00B251D4" w:rsidRPr="00FA2E9C">
        <w:rPr>
          <w:rFonts w:ascii="Times New Roman" w:hAnsi="Times New Roman" w:cs="Times New Roman"/>
          <w:sz w:val="24"/>
          <w:szCs w:val="24"/>
        </w:rPr>
        <w:t>piešķirtā finansējuma stabilitāt</w:t>
      </w:r>
      <w:r w:rsidR="00292FE6" w:rsidRPr="00FA2E9C">
        <w:rPr>
          <w:rFonts w:ascii="Times New Roman" w:hAnsi="Times New Roman" w:cs="Times New Roman"/>
          <w:sz w:val="24"/>
          <w:szCs w:val="24"/>
        </w:rPr>
        <w:t>e un paredzamība</w:t>
      </w:r>
      <w:r w:rsidR="00413386" w:rsidRPr="00FA2E9C">
        <w:rPr>
          <w:rFonts w:ascii="Times New Roman" w:hAnsi="Times New Roman" w:cs="Times New Roman"/>
          <w:sz w:val="24"/>
          <w:szCs w:val="24"/>
        </w:rPr>
        <w:t xml:space="preserve"> (pāreja vairumā</w:t>
      </w:r>
      <w:r w:rsidR="00B251D4" w:rsidRPr="00FA2E9C">
        <w:rPr>
          <w:rFonts w:ascii="Times New Roman" w:hAnsi="Times New Roman" w:cs="Times New Roman"/>
          <w:sz w:val="24"/>
          <w:szCs w:val="24"/>
        </w:rPr>
        <w:t xml:space="preserve"> rezultatīvo</w:t>
      </w:r>
      <w:r w:rsidR="00413386" w:rsidRPr="00FA2E9C">
        <w:rPr>
          <w:rFonts w:ascii="Times New Roman" w:hAnsi="Times New Roman" w:cs="Times New Roman"/>
          <w:sz w:val="24"/>
          <w:szCs w:val="24"/>
        </w:rPr>
        <w:t xml:space="preserve"> rādītāju uz 3 gadu</w:t>
      </w:r>
      <w:r w:rsidR="00B251D4" w:rsidRPr="00FA2E9C">
        <w:rPr>
          <w:rFonts w:ascii="Times New Roman" w:hAnsi="Times New Roman" w:cs="Times New Roman"/>
          <w:sz w:val="24"/>
          <w:szCs w:val="24"/>
        </w:rPr>
        <w:t xml:space="preserve"> atskaites</w:t>
      </w:r>
      <w:r w:rsidR="00413386" w:rsidRPr="00FA2E9C">
        <w:rPr>
          <w:rFonts w:ascii="Times New Roman" w:hAnsi="Times New Roman" w:cs="Times New Roman"/>
          <w:sz w:val="24"/>
          <w:szCs w:val="24"/>
        </w:rPr>
        <w:t xml:space="preserve"> periodu, nevis 1 gadu </w:t>
      </w:r>
      <w:r w:rsidR="00B251D4" w:rsidRPr="00FA2E9C">
        <w:rPr>
          <w:rFonts w:ascii="Times New Roman" w:hAnsi="Times New Roman" w:cs="Times New Roman"/>
          <w:sz w:val="24"/>
          <w:szCs w:val="24"/>
        </w:rPr>
        <w:t xml:space="preserve">atskaites periodu </w:t>
      </w:r>
      <w:r w:rsidR="00413386" w:rsidRPr="00FA2E9C">
        <w:rPr>
          <w:rFonts w:ascii="Times New Roman" w:hAnsi="Times New Roman" w:cs="Times New Roman"/>
          <w:sz w:val="24"/>
          <w:szCs w:val="24"/>
        </w:rPr>
        <w:t>kā šobrīd)</w:t>
      </w:r>
      <w:r w:rsidR="00654B40" w:rsidRPr="00FA2E9C">
        <w:rPr>
          <w:rFonts w:ascii="Times New Roman" w:hAnsi="Times New Roman" w:cs="Times New Roman"/>
          <w:sz w:val="24"/>
          <w:szCs w:val="24"/>
        </w:rPr>
        <w:t>;</w:t>
      </w:r>
    </w:p>
    <w:p w14:paraId="479F7C5C" w14:textId="1D6A419D" w:rsidR="00DC243F" w:rsidRPr="00FA2E9C" w:rsidRDefault="00FA2E9C" w:rsidP="00D83A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007D6" w:rsidRPr="00FA2E9C">
        <w:rPr>
          <w:rFonts w:ascii="Times New Roman" w:hAnsi="Times New Roman" w:cs="Times New Roman"/>
          <w:sz w:val="24"/>
          <w:szCs w:val="24"/>
        </w:rPr>
        <w:t>s</w:t>
      </w:r>
      <w:r w:rsidR="00292FE6" w:rsidRPr="00FA2E9C">
        <w:rPr>
          <w:rFonts w:ascii="Times New Roman" w:hAnsi="Times New Roman" w:cs="Times New Roman"/>
          <w:sz w:val="24"/>
          <w:szCs w:val="24"/>
        </w:rPr>
        <w:t>nieguma veicināšana</w:t>
      </w:r>
      <w:r w:rsidR="00413386" w:rsidRPr="00FA2E9C">
        <w:rPr>
          <w:rFonts w:ascii="Times New Roman" w:hAnsi="Times New Roman" w:cs="Times New Roman"/>
          <w:sz w:val="24"/>
          <w:szCs w:val="24"/>
        </w:rPr>
        <w:t xml:space="preserve"> (lielāks īpatsvars rezultatīvajiem rādītājiem, nevis 10 %</w:t>
      </w:r>
      <w:r w:rsidR="00A04C15">
        <w:rPr>
          <w:rFonts w:ascii="Times New Roman" w:hAnsi="Times New Roman" w:cs="Times New Roman"/>
          <w:sz w:val="24"/>
          <w:szCs w:val="24"/>
        </w:rPr>
        <w:t xml:space="preserve"> no piešķirtā bāzes finansējuma</w:t>
      </w:r>
      <w:r w:rsidR="00413386" w:rsidRPr="00FA2E9C">
        <w:rPr>
          <w:rFonts w:ascii="Times New Roman" w:hAnsi="Times New Roman" w:cs="Times New Roman"/>
          <w:sz w:val="24"/>
          <w:szCs w:val="24"/>
        </w:rPr>
        <w:t xml:space="preserve"> kā šobrīd)</w:t>
      </w:r>
      <w:r w:rsidR="00654B40" w:rsidRPr="00FA2E9C">
        <w:rPr>
          <w:rFonts w:ascii="Times New Roman" w:hAnsi="Times New Roman" w:cs="Times New Roman"/>
          <w:sz w:val="24"/>
          <w:szCs w:val="24"/>
        </w:rPr>
        <w:t>;</w:t>
      </w:r>
    </w:p>
    <w:p w14:paraId="5ECE0550" w14:textId="07A295F9" w:rsidR="008B4668" w:rsidRPr="00D83A1A" w:rsidRDefault="00D83A1A" w:rsidP="00D83A1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002007D6" w:rsidRPr="00FA2E9C">
        <w:rPr>
          <w:rFonts w:ascii="Times New Roman" w:hAnsi="Times New Roman" w:cs="Times New Roman"/>
          <w:sz w:val="24"/>
          <w:szCs w:val="24"/>
        </w:rPr>
        <w:t>s</w:t>
      </w:r>
      <w:r w:rsidR="00292FE6" w:rsidRPr="00FA2E9C">
        <w:rPr>
          <w:rFonts w:ascii="Times New Roman" w:hAnsi="Times New Roman" w:cs="Times New Roman"/>
          <w:sz w:val="24"/>
          <w:szCs w:val="24"/>
        </w:rPr>
        <w:t>asaiste</w:t>
      </w:r>
      <w:r w:rsidR="00413386" w:rsidRPr="00FA2E9C">
        <w:rPr>
          <w:rFonts w:ascii="Times New Roman" w:hAnsi="Times New Roman" w:cs="Times New Roman"/>
          <w:sz w:val="24"/>
          <w:szCs w:val="24"/>
        </w:rPr>
        <w:t xml:space="preserve"> ar </w:t>
      </w:r>
      <w:r w:rsidR="004044EA" w:rsidRPr="00FA2E9C">
        <w:rPr>
          <w:rFonts w:ascii="Times New Roman" w:hAnsi="Times New Roman" w:cs="Times New Roman"/>
          <w:sz w:val="24"/>
          <w:szCs w:val="24"/>
        </w:rPr>
        <w:t>Latvijas Atveseļošanas un noturības mehānisma plānu</w:t>
      </w:r>
      <w:r w:rsidR="004044EA" w:rsidRPr="006913F3">
        <w:rPr>
          <w:rStyle w:val="FootnoteReference"/>
          <w:rFonts w:ascii="Times New Roman" w:hAnsi="Times New Roman" w:cs="Times New Roman"/>
          <w:sz w:val="24"/>
          <w:szCs w:val="24"/>
        </w:rPr>
        <w:footnoteReference w:id="2"/>
      </w:r>
      <w:r w:rsidR="004044EA" w:rsidRPr="00D83A1A">
        <w:rPr>
          <w:rFonts w:ascii="Times New Roman" w:hAnsi="Times New Roman" w:cs="Times New Roman"/>
          <w:sz w:val="24"/>
          <w:szCs w:val="24"/>
        </w:rPr>
        <w:t xml:space="preserve"> (turpmāk – ANM)</w:t>
      </w:r>
      <w:r w:rsidR="00292FE6" w:rsidRPr="00D83A1A">
        <w:rPr>
          <w:rFonts w:ascii="Times New Roman" w:hAnsi="Times New Roman" w:cs="Times New Roman"/>
          <w:sz w:val="24"/>
          <w:szCs w:val="24"/>
        </w:rPr>
        <w:t xml:space="preserve">, </w:t>
      </w:r>
      <w:r w:rsidR="00413386" w:rsidRPr="00D83A1A">
        <w:rPr>
          <w:rFonts w:ascii="Times New Roman" w:hAnsi="Times New Roman" w:cs="Times New Roman"/>
          <w:sz w:val="24"/>
          <w:szCs w:val="24"/>
        </w:rPr>
        <w:t>lai veicinātu iekšējo un ārējo konsol</w:t>
      </w:r>
      <w:r w:rsidR="00292FE6" w:rsidRPr="00D83A1A">
        <w:rPr>
          <w:rFonts w:ascii="Times New Roman" w:hAnsi="Times New Roman" w:cs="Times New Roman"/>
          <w:sz w:val="24"/>
          <w:szCs w:val="24"/>
        </w:rPr>
        <w:t>idāciju, pārvaldības uzlabošanu</w:t>
      </w:r>
      <w:r w:rsidR="008B4668" w:rsidRPr="00D83A1A">
        <w:rPr>
          <w:rFonts w:ascii="Times New Roman" w:hAnsi="Times New Roman" w:cs="Times New Roman"/>
          <w:sz w:val="24"/>
          <w:szCs w:val="24"/>
        </w:rPr>
        <w:t>;</w:t>
      </w:r>
    </w:p>
    <w:p w14:paraId="45850E9C" w14:textId="3ED50350" w:rsidR="009F5177" w:rsidRPr="00FA2E9C" w:rsidRDefault="00FA2E9C" w:rsidP="00D83A1A">
      <w:pPr>
        <w:pStyle w:val="ListParagraph"/>
        <w:numPr>
          <w:ilvl w:val="0"/>
          <w:numId w:val="8"/>
        </w:numPr>
        <w:tabs>
          <w:tab w:val="left" w:pos="851"/>
        </w:tabs>
        <w:spacing w:after="0" w:line="240" w:lineRule="auto"/>
        <w:ind w:left="0" w:firstLine="709"/>
        <w:jc w:val="both"/>
        <w:rPr>
          <w:rFonts w:ascii="Times New Roman" w:hAnsi="Times New Roman" w:cs="Times New Roman"/>
          <w:sz w:val="24"/>
          <w:szCs w:val="24"/>
        </w:rPr>
      </w:pPr>
      <w:r w:rsidRPr="00FA2E9C">
        <w:rPr>
          <w:rFonts w:ascii="Times New Roman" w:hAnsi="Times New Roman" w:cs="Times New Roman"/>
          <w:sz w:val="24"/>
          <w:szCs w:val="24"/>
        </w:rPr>
        <w:t xml:space="preserve">6) ievērojot Augstkolu likuma </w:t>
      </w:r>
      <w:r w:rsidRPr="00FA2E9C">
        <w:rPr>
          <w:rFonts w:ascii="Times New Roman" w:eastAsia="Calibri" w:hAnsi="Times New Roman" w:cs="Times New Roman"/>
          <w:iCs/>
          <w:sz w:val="24"/>
          <w:szCs w:val="24"/>
          <w:lang w:eastAsia="lv-LV"/>
        </w:rPr>
        <w:t>(</w:t>
      </w:r>
      <w:hyperlink r:id="rId8" w:tgtFrame="_blank" w:history="1">
        <w:r w:rsidRPr="00FA2E9C">
          <w:rPr>
            <w:rFonts w:ascii="Times New Roman" w:eastAsia="Calibri" w:hAnsi="Times New Roman" w:cs="Times New Roman"/>
            <w:iCs/>
            <w:color w:val="0000FF"/>
            <w:sz w:val="24"/>
            <w:szCs w:val="24"/>
            <w:u w:val="single"/>
            <w:lang w:eastAsia="lv-LV"/>
          </w:rPr>
          <w:t>08.06.2021</w:t>
        </w:r>
      </w:hyperlink>
      <w:r w:rsidRPr="00FA2E9C">
        <w:rPr>
          <w:rFonts w:ascii="Times New Roman" w:eastAsia="Calibri" w:hAnsi="Times New Roman" w:cs="Times New Roman"/>
          <w:iCs/>
          <w:sz w:val="24"/>
          <w:szCs w:val="24"/>
          <w:lang w:eastAsia="lv-LV"/>
        </w:rPr>
        <w:t>. likuma redakcijā, kas stājas spēkā </w:t>
      </w:r>
      <w:hyperlink r:id="rId9" w:tgtFrame="_blank" w:history="1">
        <w:r w:rsidRPr="00FA2E9C">
          <w:rPr>
            <w:rFonts w:ascii="Times New Roman" w:eastAsia="Calibri" w:hAnsi="Times New Roman" w:cs="Times New Roman"/>
            <w:iCs/>
            <w:color w:val="0000FF"/>
            <w:sz w:val="24"/>
            <w:szCs w:val="24"/>
            <w:u w:val="single"/>
            <w:lang w:eastAsia="lv-LV"/>
          </w:rPr>
          <w:t>16.08.2021.</w:t>
        </w:r>
      </w:hyperlink>
      <w:r w:rsidRPr="00FA2E9C">
        <w:rPr>
          <w:rFonts w:ascii="Times New Roman" w:eastAsia="Calibri" w:hAnsi="Times New Roman" w:cs="Times New Roman"/>
          <w:iCs/>
          <w:sz w:val="24"/>
          <w:szCs w:val="24"/>
          <w:lang w:eastAsia="lv-LV"/>
        </w:rPr>
        <w:t>)</w:t>
      </w:r>
      <w:r>
        <w:rPr>
          <w:rStyle w:val="FootnoteReference"/>
          <w:rFonts w:ascii="Times New Roman" w:hAnsi="Times New Roman" w:cs="Times New Roman"/>
          <w:sz w:val="24"/>
          <w:szCs w:val="24"/>
        </w:rPr>
        <w:footnoteReference w:id="3"/>
      </w:r>
      <w:r w:rsidRPr="00FA2E9C">
        <w:rPr>
          <w:rFonts w:ascii="Times New Roman" w:hAnsi="Times New Roman" w:cs="Times New Roman"/>
          <w:sz w:val="24"/>
          <w:szCs w:val="24"/>
        </w:rPr>
        <w:t xml:space="preserve"> Pārejas noteikumu 80.punktā noteikto, ka </w:t>
      </w:r>
      <w:r w:rsidR="008B4668" w:rsidRPr="00FA2E9C">
        <w:rPr>
          <w:rFonts w:ascii="Times New Roman" w:hAnsi="Times New Roman" w:cs="Times New Roman"/>
          <w:sz w:val="24"/>
          <w:szCs w:val="24"/>
        </w:rPr>
        <w:t>Izglītības un zinātnes ministrija līdz 2022.gada 31.marta</w:t>
      </w:r>
      <w:r w:rsidRPr="00FA2E9C">
        <w:rPr>
          <w:rFonts w:ascii="Times New Roman" w:hAnsi="Times New Roman" w:cs="Times New Roman"/>
          <w:sz w:val="24"/>
          <w:szCs w:val="24"/>
        </w:rPr>
        <w:t>m</w:t>
      </w:r>
      <w:r w:rsidR="008B4668" w:rsidRPr="00FA2E9C">
        <w:rPr>
          <w:rFonts w:ascii="Times New Roman" w:hAnsi="Times New Roman" w:cs="Times New Roman"/>
          <w:sz w:val="24"/>
          <w:szCs w:val="24"/>
        </w:rPr>
        <w:t xml:space="preserve"> iesnie</w:t>
      </w:r>
      <w:r w:rsidRPr="00FA2E9C">
        <w:rPr>
          <w:rFonts w:ascii="Times New Roman" w:hAnsi="Times New Roman" w:cs="Times New Roman"/>
          <w:sz w:val="24"/>
          <w:szCs w:val="24"/>
        </w:rPr>
        <w:t xml:space="preserve">dz </w:t>
      </w:r>
      <w:r w:rsidR="008B4668" w:rsidRPr="00FA2E9C">
        <w:rPr>
          <w:rFonts w:ascii="Times New Roman" w:hAnsi="Times New Roman" w:cs="Times New Roman"/>
          <w:sz w:val="24"/>
          <w:szCs w:val="24"/>
        </w:rPr>
        <w:t>izskatīšanai Ministru kabinetā informatīvo ziņojumu par valsts augstskolu institucionālās attīstības un konsolidācijas plānu.</w:t>
      </w:r>
    </w:p>
    <w:p w14:paraId="71091739" w14:textId="77777777" w:rsidR="00FA2E9C" w:rsidRDefault="00FA2E9C" w:rsidP="00835FF8">
      <w:pPr>
        <w:jc w:val="center"/>
        <w:rPr>
          <w:rFonts w:ascii="Times New Roman" w:hAnsi="Times New Roman" w:cs="Times New Roman"/>
          <w:b/>
          <w:sz w:val="24"/>
          <w:szCs w:val="24"/>
        </w:rPr>
      </w:pPr>
    </w:p>
    <w:p w14:paraId="4EF2B4B7" w14:textId="1A5B7BC1" w:rsidR="005C26B2" w:rsidRPr="006913F3" w:rsidRDefault="00104388" w:rsidP="00835FF8">
      <w:pPr>
        <w:jc w:val="center"/>
        <w:rPr>
          <w:rFonts w:ascii="Times New Roman" w:hAnsi="Times New Roman" w:cs="Times New Roman"/>
          <w:b/>
          <w:sz w:val="24"/>
          <w:szCs w:val="24"/>
        </w:rPr>
      </w:pPr>
      <w:r>
        <w:rPr>
          <w:rFonts w:ascii="Times New Roman" w:hAnsi="Times New Roman" w:cs="Times New Roman"/>
          <w:b/>
          <w:sz w:val="24"/>
          <w:szCs w:val="24"/>
        </w:rPr>
        <w:t>1</w:t>
      </w:r>
      <w:r w:rsidR="00835FF8">
        <w:rPr>
          <w:rFonts w:ascii="Times New Roman" w:hAnsi="Times New Roman" w:cs="Times New Roman"/>
          <w:b/>
          <w:sz w:val="24"/>
          <w:szCs w:val="24"/>
        </w:rPr>
        <w:t xml:space="preserve">. </w:t>
      </w:r>
      <w:r w:rsidR="005C26B2" w:rsidRPr="006913F3">
        <w:rPr>
          <w:rFonts w:ascii="Times New Roman" w:hAnsi="Times New Roman" w:cs="Times New Roman"/>
          <w:b/>
          <w:sz w:val="24"/>
          <w:szCs w:val="24"/>
        </w:rPr>
        <w:t>Starpt</w:t>
      </w:r>
      <w:r w:rsidR="00835FF8">
        <w:rPr>
          <w:rFonts w:ascii="Times New Roman" w:hAnsi="Times New Roman" w:cs="Times New Roman"/>
          <w:b/>
          <w:sz w:val="24"/>
          <w:szCs w:val="24"/>
        </w:rPr>
        <w:t>autiskā no</w:t>
      </w:r>
      <w:r w:rsidR="005C26B2" w:rsidRPr="006913F3">
        <w:rPr>
          <w:rFonts w:ascii="Times New Roman" w:hAnsi="Times New Roman" w:cs="Times New Roman"/>
          <w:b/>
          <w:sz w:val="24"/>
          <w:szCs w:val="24"/>
        </w:rPr>
        <w:t>vērtējuma rezultāti</w:t>
      </w:r>
    </w:p>
    <w:p w14:paraId="3EEA686E" w14:textId="52F8DE2D" w:rsidR="005C26B2" w:rsidRPr="00D83A1A" w:rsidRDefault="005C26B2" w:rsidP="0046528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sidRPr="006913F3">
        <w:t>Zinātnisko institūc</w:t>
      </w:r>
      <w:r w:rsidR="00835FF8">
        <w:t>iju starptautiskais no</w:t>
      </w:r>
      <w:r w:rsidR="006B79E5" w:rsidRPr="006913F3">
        <w:t>vērtējums</w:t>
      </w:r>
      <w:r w:rsidRPr="006913F3">
        <w:t xml:space="preserve"> tiek veikts</w:t>
      </w:r>
      <w:r w:rsidR="00A04C15">
        <w:t xml:space="preserve"> </w:t>
      </w:r>
      <w:r w:rsidR="00FA2E9C">
        <w:t>saskaņā ar</w:t>
      </w:r>
      <w:r w:rsidR="008B4668">
        <w:t xml:space="preserve"> Zinātniskās darbības likuma 41.pant</w:t>
      </w:r>
      <w:r w:rsidR="00D83A1A">
        <w:t>a pirmo daļu</w:t>
      </w:r>
      <w:r w:rsidR="00FA2E9C">
        <w:t xml:space="preserve"> un pamatojoties </w:t>
      </w:r>
      <w:r w:rsidR="00E8288F">
        <w:t xml:space="preserve">uz </w:t>
      </w:r>
      <w:r w:rsidR="00E8288F" w:rsidRPr="006913F3">
        <w:t>Ministru</w:t>
      </w:r>
      <w:r w:rsidR="00FA2E9C" w:rsidRPr="006913F3">
        <w:t xml:space="preserve"> kabineta </w:t>
      </w:r>
      <w:r w:rsidR="00FA2E9C" w:rsidRPr="009F5177">
        <w:t xml:space="preserve">2018.gada 2.oktobra </w:t>
      </w:r>
      <w:r w:rsidR="00FA2E9C">
        <w:t>noteikumiem</w:t>
      </w:r>
      <w:r w:rsidR="00FA2E9C" w:rsidRPr="009F5177">
        <w:t xml:space="preserve"> Nr.619 “Zinātnisko institūciju darbības starptautiskā novērtējuma organizēšanas kārtība”</w:t>
      </w:r>
      <w:r w:rsidR="00FA2E9C">
        <w:t xml:space="preserve">, </w:t>
      </w:r>
      <w:r w:rsidRPr="006913F3">
        <w:t xml:space="preserve">reizi 6 gados, lai novērtētu </w:t>
      </w:r>
      <w:r w:rsidR="00D83A1A">
        <w:t>Zinātnisko insitūciju reģistrā</w:t>
      </w:r>
      <w:r w:rsidR="002C75A3">
        <w:t xml:space="preserve"> (turpmāk – registrs)</w:t>
      </w:r>
      <w:r w:rsidR="00D83A1A">
        <w:t xml:space="preserve"> </w:t>
      </w:r>
      <w:r w:rsidRPr="006913F3">
        <w:t xml:space="preserve">reģistrēto zinātnisko institūciju darbību </w:t>
      </w:r>
      <w:r w:rsidR="00A04C15" w:rsidRPr="00A04C15">
        <w:t>kas ietver ziņas par zinātniskās institūcijas</w:t>
      </w:r>
      <w:r w:rsidRPr="006913F3">
        <w:t>:</w:t>
      </w:r>
      <w:r w:rsidR="00D83A1A" w:rsidRPr="00D83A1A">
        <w:rPr>
          <w:rFonts w:ascii="Arial" w:hAnsi="Arial" w:cs="Arial"/>
          <w:color w:val="414142"/>
          <w:sz w:val="20"/>
          <w:szCs w:val="20"/>
        </w:rPr>
        <w:t xml:space="preserve"> </w:t>
      </w:r>
    </w:p>
    <w:p w14:paraId="24E293A0" w14:textId="77777777" w:rsidR="00A04C15" w:rsidRPr="00A04C15" w:rsidRDefault="00A04C15" w:rsidP="00A04C15">
      <w:pPr>
        <w:pStyle w:val="ListParagraph"/>
        <w:numPr>
          <w:ilvl w:val="0"/>
          <w:numId w:val="16"/>
        </w:numPr>
        <w:jc w:val="both"/>
        <w:rPr>
          <w:rFonts w:ascii="Times New Roman" w:hAnsi="Times New Roman" w:cs="Times New Roman"/>
          <w:sz w:val="24"/>
          <w:szCs w:val="24"/>
        </w:rPr>
      </w:pPr>
      <w:r w:rsidRPr="00A04C15">
        <w:rPr>
          <w:rFonts w:ascii="Times New Roman" w:hAnsi="Times New Roman" w:cs="Times New Roman"/>
          <w:sz w:val="24"/>
          <w:szCs w:val="24"/>
        </w:rPr>
        <w:t>1) zinātniskās darbības kvalitāti;</w:t>
      </w:r>
    </w:p>
    <w:p w14:paraId="23461D5F" w14:textId="77777777" w:rsidR="00A04C15" w:rsidRPr="00A04C15" w:rsidRDefault="00A04C15" w:rsidP="00A04C15">
      <w:pPr>
        <w:pStyle w:val="ListParagraph"/>
        <w:numPr>
          <w:ilvl w:val="0"/>
          <w:numId w:val="16"/>
        </w:numPr>
        <w:jc w:val="both"/>
        <w:rPr>
          <w:rFonts w:ascii="Times New Roman" w:hAnsi="Times New Roman" w:cs="Times New Roman"/>
          <w:sz w:val="24"/>
          <w:szCs w:val="24"/>
        </w:rPr>
      </w:pPr>
      <w:r w:rsidRPr="00A04C15">
        <w:rPr>
          <w:rFonts w:ascii="Times New Roman" w:hAnsi="Times New Roman" w:cs="Times New Roman"/>
          <w:sz w:val="24"/>
          <w:szCs w:val="24"/>
        </w:rPr>
        <w:t>2) zinātniskās darbības ietekmi uz attiecīgo zinātnes nozari;</w:t>
      </w:r>
    </w:p>
    <w:p w14:paraId="53E17A7C" w14:textId="77777777" w:rsidR="00A04C15" w:rsidRPr="00A04C15" w:rsidRDefault="00A04C15" w:rsidP="00A04C15">
      <w:pPr>
        <w:pStyle w:val="ListParagraph"/>
        <w:numPr>
          <w:ilvl w:val="0"/>
          <w:numId w:val="16"/>
        </w:numPr>
        <w:jc w:val="both"/>
        <w:rPr>
          <w:rFonts w:ascii="Times New Roman" w:hAnsi="Times New Roman" w:cs="Times New Roman"/>
          <w:sz w:val="24"/>
          <w:szCs w:val="24"/>
        </w:rPr>
      </w:pPr>
      <w:r w:rsidRPr="00A04C15">
        <w:rPr>
          <w:rFonts w:ascii="Times New Roman" w:hAnsi="Times New Roman" w:cs="Times New Roman"/>
          <w:sz w:val="24"/>
          <w:szCs w:val="24"/>
        </w:rPr>
        <w:t>3) zinātniskās darbības ekonomisko un sociālo ietekmi;</w:t>
      </w:r>
    </w:p>
    <w:p w14:paraId="0C24D100" w14:textId="77777777" w:rsidR="00A04C15" w:rsidRPr="00A04C15" w:rsidRDefault="00A04C15" w:rsidP="00A04C15">
      <w:pPr>
        <w:pStyle w:val="ListParagraph"/>
        <w:numPr>
          <w:ilvl w:val="0"/>
          <w:numId w:val="16"/>
        </w:numPr>
        <w:jc w:val="both"/>
        <w:rPr>
          <w:rFonts w:ascii="Times New Roman" w:hAnsi="Times New Roman" w:cs="Times New Roman"/>
          <w:sz w:val="24"/>
          <w:szCs w:val="24"/>
        </w:rPr>
      </w:pPr>
      <w:r w:rsidRPr="00A04C15">
        <w:rPr>
          <w:rFonts w:ascii="Times New Roman" w:hAnsi="Times New Roman" w:cs="Times New Roman"/>
          <w:sz w:val="24"/>
          <w:szCs w:val="24"/>
        </w:rPr>
        <w:t>4) infrastruktūru un tās atbilstību zinātniskās institūcijas darbībai;</w:t>
      </w:r>
    </w:p>
    <w:p w14:paraId="057804C0" w14:textId="20A13A97" w:rsidR="002007D6" w:rsidRPr="006913F3" w:rsidRDefault="00A04C15" w:rsidP="00A04C15">
      <w:pPr>
        <w:pStyle w:val="ListParagraph"/>
        <w:spacing w:after="0"/>
        <w:jc w:val="both"/>
        <w:rPr>
          <w:rFonts w:ascii="Times New Roman" w:hAnsi="Times New Roman" w:cs="Times New Roman"/>
          <w:sz w:val="24"/>
          <w:szCs w:val="24"/>
        </w:rPr>
      </w:pPr>
      <w:r w:rsidRPr="00A04C15">
        <w:rPr>
          <w:rFonts w:ascii="Times New Roman" w:hAnsi="Times New Roman" w:cs="Times New Roman"/>
          <w:sz w:val="24"/>
          <w:szCs w:val="24"/>
        </w:rPr>
        <w:lastRenderedPageBreak/>
        <w:t>5) attīstības potenciālu.</w:t>
      </w:r>
    </w:p>
    <w:p w14:paraId="27C95CE0" w14:textId="307047C7" w:rsidR="00D57144" w:rsidRDefault="00835FF8" w:rsidP="00A04C15">
      <w:pPr>
        <w:spacing w:after="0"/>
        <w:ind w:firstLine="709"/>
        <w:jc w:val="both"/>
        <w:rPr>
          <w:rFonts w:ascii="Times New Roman" w:hAnsi="Times New Roman" w:cs="Times New Roman"/>
          <w:sz w:val="24"/>
          <w:szCs w:val="24"/>
        </w:rPr>
      </w:pPr>
      <w:r>
        <w:rPr>
          <w:rFonts w:ascii="Times New Roman" w:hAnsi="Times New Roman" w:cs="Times New Roman"/>
          <w:sz w:val="24"/>
          <w:szCs w:val="24"/>
        </w:rPr>
        <w:t>Dalība starptautiskajā no</w:t>
      </w:r>
      <w:r w:rsidR="005C26B2" w:rsidRPr="006913F3">
        <w:rPr>
          <w:rFonts w:ascii="Times New Roman" w:hAnsi="Times New Roman" w:cs="Times New Roman"/>
          <w:sz w:val="24"/>
          <w:szCs w:val="24"/>
        </w:rPr>
        <w:t>vērtējumā valsts</w:t>
      </w:r>
      <w:r w:rsidR="002C75A3">
        <w:rPr>
          <w:rFonts w:ascii="Times New Roman" w:hAnsi="Times New Roman" w:cs="Times New Roman"/>
          <w:sz w:val="24"/>
          <w:szCs w:val="24"/>
        </w:rPr>
        <w:t xml:space="preserve"> dibinātām</w:t>
      </w:r>
      <w:r w:rsidR="005C26B2" w:rsidRPr="006913F3">
        <w:rPr>
          <w:rFonts w:ascii="Times New Roman" w:hAnsi="Times New Roman" w:cs="Times New Roman"/>
          <w:sz w:val="24"/>
          <w:szCs w:val="24"/>
        </w:rPr>
        <w:t xml:space="preserve"> augstskolām</w:t>
      </w:r>
      <w:r w:rsidR="002C75A3">
        <w:rPr>
          <w:rFonts w:ascii="Times New Roman" w:hAnsi="Times New Roman" w:cs="Times New Roman"/>
          <w:sz w:val="24"/>
          <w:szCs w:val="24"/>
        </w:rPr>
        <w:t>,</w:t>
      </w:r>
      <w:r w:rsidR="005C26B2" w:rsidRPr="006913F3">
        <w:rPr>
          <w:rFonts w:ascii="Times New Roman" w:hAnsi="Times New Roman" w:cs="Times New Roman"/>
          <w:sz w:val="24"/>
          <w:szCs w:val="24"/>
        </w:rPr>
        <w:t xml:space="preserve"> </w:t>
      </w:r>
      <w:r w:rsidR="002C75A3">
        <w:rPr>
          <w:rFonts w:ascii="Times New Roman" w:hAnsi="Times New Roman" w:cs="Times New Roman"/>
          <w:sz w:val="24"/>
          <w:szCs w:val="24"/>
        </w:rPr>
        <w:t xml:space="preserve"> valsts un valsts augst</w:t>
      </w:r>
      <w:r w:rsidR="00E8288F">
        <w:rPr>
          <w:rFonts w:ascii="Times New Roman" w:hAnsi="Times New Roman" w:cs="Times New Roman"/>
          <w:sz w:val="24"/>
          <w:szCs w:val="24"/>
        </w:rPr>
        <w:t>s</w:t>
      </w:r>
      <w:r w:rsidR="002C75A3">
        <w:rPr>
          <w:rFonts w:ascii="Times New Roman" w:hAnsi="Times New Roman" w:cs="Times New Roman"/>
          <w:sz w:val="24"/>
          <w:szCs w:val="24"/>
        </w:rPr>
        <w:t xml:space="preserve">kolu  </w:t>
      </w:r>
      <w:r w:rsidR="005C26B2" w:rsidRPr="006913F3">
        <w:rPr>
          <w:rFonts w:ascii="Times New Roman" w:hAnsi="Times New Roman" w:cs="Times New Roman"/>
          <w:sz w:val="24"/>
          <w:szCs w:val="24"/>
        </w:rPr>
        <w:t>zinātnis</w:t>
      </w:r>
      <w:r w:rsidR="002C75A3">
        <w:rPr>
          <w:rFonts w:ascii="Times New Roman" w:hAnsi="Times New Roman" w:cs="Times New Roman"/>
          <w:sz w:val="24"/>
          <w:szCs w:val="24"/>
        </w:rPr>
        <w:t xml:space="preserve">kajiem </w:t>
      </w:r>
      <w:r w:rsidR="005C26B2" w:rsidRPr="006913F3">
        <w:rPr>
          <w:rFonts w:ascii="Times New Roman" w:hAnsi="Times New Roman" w:cs="Times New Roman"/>
          <w:sz w:val="24"/>
          <w:szCs w:val="24"/>
        </w:rPr>
        <w:t xml:space="preserve"> </w:t>
      </w:r>
      <w:r w:rsidR="002C75A3">
        <w:rPr>
          <w:rFonts w:ascii="Times New Roman" w:hAnsi="Times New Roman" w:cs="Times New Roman"/>
          <w:sz w:val="24"/>
          <w:szCs w:val="24"/>
        </w:rPr>
        <w:t>institūtiem (turpmāk – valsts zinātniskās insitūcijas)</w:t>
      </w:r>
      <w:r w:rsidR="002C75A3" w:rsidRPr="006913F3">
        <w:rPr>
          <w:rFonts w:ascii="Times New Roman" w:hAnsi="Times New Roman" w:cs="Times New Roman"/>
          <w:sz w:val="24"/>
          <w:szCs w:val="24"/>
        </w:rPr>
        <w:t xml:space="preserve"> </w:t>
      </w:r>
      <w:r w:rsidR="005C26B2" w:rsidRPr="006913F3">
        <w:rPr>
          <w:rFonts w:ascii="Times New Roman" w:hAnsi="Times New Roman" w:cs="Times New Roman"/>
          <w:sz w:val="24"/>
          <w:szCs w:val="24"/>
        </w:rPr>
        <w:t>ir obligāta, kamēr pārējās</w:t>
      </w:r>
      <w:r w:rsidR="002C75A3">
        <w:rPr>
          <w:rFonts w:ascii="Times New Roman" w:hAnsi="Times New Roman" w:cs="Times New Roman"/>
          <w:sz w:val="24"/>
          <w:szCs w:val="24"/>
        </w:rPr>
        <w:t xml:space="preserve"> reģistrā reģistrētās</w:t>
      </w:r>
      <w:r w:rsidR="005C26B2" w:rsidRPr="006913F3">
        <w:rPr>
          <w:rFonts w:ascii="Times New Roman" w:hAnsi="Times New Roman" w:cs="Times New Roman"/>
          <w:sz w:val="24"/>
          <w:szCs w:val="24"/>
        </w:rPr>
        <w:t xml:space="preserve"> zinātniskās institūcijas piedalās brīvprātīg</w:t>
      </w:r>
      <w:r>
        <w:rPr>
          <w:rFonts w:ascii="Times New Roman" w:hAnsi="Times New Roman" w:cs="Times New Roman"/>
          <w:sz w:val="24"/>
          <w:szCs w:val="24"/>
        </w:rPr>
        <w:t>i. 2019. gada starptautiskajā no</w:t>
      </w:r>
      <w:r w:rsidR="005C26B2" w:rsidRPr="006913F3">
        <w:rPr>
          <w:rFonts w:ascii="Times New Roman" w:hAnsi="Times New Roman" w:cs="Times New Roman"/>
          <w:sz w:val="24"/>
          <w:szCs w:val="24"/>
        </w:rPr>
        <w:t>vērtējum</w:t>
      </w:r>
      <w:r w:rsidR="006B79E5" w:rsidRPr="006913F3">
        <w:rPr>
          <w:rFonts w:ascii="Times New Roman" w:hAnsi="Times New Roman" w:cs="Times New Roman"/>
          <w:sz w:val="24"/>
          <w:szCs w:val="24"/>
        </w:rPr>
        <w:t>ā</w:t>
      </w:r>
      <w:r w:rsidR="005C26B2" w:rsidRPr="006913F3">
        <w:rPr>
          <w:rFonts w:ascii="Times New Roman" w:hAnsi="Times New Roman" w:cs="Times New Roman"/>
          <w:sz w:val="24"/>
          <w:szCs w:val="24"/>
        </w:rPr>
        <w:t xml:space="preserve"> no 62 Latvijā reģistrētajām zinātniskajām institūcijām piedalījās 38 ar kopējo vērtējamo vienību skaitu – 63. </w:t>
      </w:r>
      <w:r w:rsidR="004044EA" w:rsidRPr="006913F3">
        <w:rPr>
          <w:rFonts w:ascii="Times New Roman" w:hAnsi="Times New Roman" w:cs="Times New Roman"/>
          <w:sz w:val="24"/>
          <w:szCs w:val="24"/>
        </w:rPr>
        <w:t xml:space="preserve">Augstskolām, ņemot vērā </w:t>
      </w:r>
      <w:r w:rsidR="005C26B2" w:rsidRPr="006913F3">
        <w:rPr>
          <w:rFonts w:ascii="Times New Roman" w:hAnsi="Times New Roman" w:cs="Times New Roman"/>
          <w:sz w:val="24"/>
          <w:szCs w:val="24"/>
        </w:rPr>
        <w:t xml:space="preserve">tām </w:t>
      </w:r>
      <w:r w:rsidR="004044EA" w:rsidRPr="006913F3">
        <w:rPr>
          <w:rFonts w:ascii="Times New Roman" w:hAnsi="Times New Roman" w:cs="Times New Roman"/>
          <w:sz w:val="24"/>
          <w:szCs w:val="24"/>
        </w:rPr>
        <w:t>raksturīgo</w:t>
      </w:r>
      <w:r w:rsidR="005C26B2" w:rsidRPr="006913F3">
        <w:rPr>
          <w:rFonts w:ascii="Times New Roman" w:hAnsi="Times New Roman" w:cs="Times New Roman"/>
          <w:sz w:val="24"/>
          <w:szCs w:val="24"/>
        </w:rPr>
        <w:t xml:space="preserve"> zinātnisko darbību daudzās zinātnes nozarēs</w:t>
      </w:r>
      <w:r w:rsidR="006B79E5" w:rsidRPr="006913F3">
        <w:rPr>
          <w:rFonts w:ascii="Times New Roman" w:hAnsi="Times New Roman" w:cs="Times New Roman"/>
          <w:sz w:val="24"/>
          <w:szCs w:val="24"/>
        </w:rPr>
        <w:t>,</w:t>
      </w:r>
      <w:r w:rsidR="005C26B2" w:rsidRPr="006913F3">
        <w:rPr>
          <w:rFonts w:ascii="Times New Roman" w:hAnsi="Times New Roman" w:cs="Times New Roman"/>
          <w:sz w:val="24"/>
          <w:szCs w:val="24"/>
        </w:rPr>
        <w:t xml:space="preserve"> bija iespēja pieteikt vairākas to individuāli vērtējamās vienības. Novērtējuma mērķis ir zinātnisko institūciju darbības kvalitātes uzlabošana, starptautiskās konkurētspējas palielināšana, sekmīgāka iekļaušanās Eiropas pētniecības telpā un valsts konkurētspējas palielināšana, kā arī efektīvas un pierādījumos balstītas zinātnes, tehnoloģiju attīstības un inovāciju politikas īstenošana.</w:t>
      </w:r>
    </w:p>
    <w:p w14:paraId="67FA9CD4" w14:textId="16710A4B" w:rsidR="008B4668" w:rsidRPr="006913F3" w:rsidRDefault="008B4668" w:rsidP="00A04C1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Sākot ar 2025.gadu dalība starptautiskajā zinātnisko institīciju starptautiskajā novērtējuma būs obligāta visām Latvijā akreditētām augstskolām, jo atkarībā no novērtējuma rezultātiem augstskola var pretendēt vienam no Augstskolu likumā definētam augstskolu tipam. </w:t>
      </w:r>
    </w:p>
    <w:p w14:paraId="418C887A" w14:textId="77777777" w:rsidR="002C75A3" w:rsidRDefault="002C75A3" w:rsidP="00104388">
      <w:pPr>
        <w:rPr>
          <w:rFonts w:ascii="Times New Roman" w:hAnsi="Times New Roman" w:cs="Times New Roman"/>
          <w:b/>
          <w:sz w:val="24"/>
          <w:szCs w:val="24"/>
        </w:rPr>
      </w:pPr>
    </w:p>
    <w:p w14:paraId="419336A2" w14:textId="475C8FDB" w:rsidR="005C26B2" w:rsidRPr="006913F3" w:rsidRDefault="00104388" w:rsidP="002C75A3">
      <w:pPr>
        <w:jc w:val="center"/>
        <w:rPr>
          <w:rFonts w:ascii="Times New Roman" w:hAnsi="Times New Roman" w:cs="Times New Roman"/>
          <w:b/>
          <w:sz w:val="24"/>
          <w:szCs w:val="24"/>
        </w:rPr>
      </w:pPr>
      <w:r>
        <w:rPr>
          <w:rFonts w:ascii="Times New Roman" w:hAnsi="Times New Roman" w:cs="Times New Roman"/>
          <w:b/>
          <w:sz w:val="24"/>
          <w:szCs w:val="24"/>
        </w:rPr>
        <w:t xml:space="preserve">1.1. </w:t>
      </w:r>
      <w:r w:rsidR="005C26B2" w:rsidRPr="006913F3">
        <w:rPr>
          <w:rFonts w:ascii="Times New Roman" w:hAnsi="Times New Roman" w:cs="Times New Roman"/>
          <w:b/>
          <w:sz w:val="24"/>
          <w:szCs w:val="24"/>
        </w:rPr>
        <w:t>Izvērsums par 2019.</w:t>
      </w:r>
      <w:r w:rsidR="00835FF8">
        <w:rPr>
          <w:rFonts w:ascii="Times New Roman" w:hAnsi="Times New Roman" w:cs="Times New Roman"/>
          <w:b/>
          <w:sz w:val="24"/>
          <w:szCs w:val="24"/>
        </w:rPr>
        <w:t xml:space="preserve"> </w:t>
      </w:r>
      <w:r w:rsidR="005C26B2" w:rsidRPr="006913F3">
        <w:rPr>
          <w:rFonts w:ascii="Times New Roman" w:hAnsi="Times New Roman" w:cs="Times New Roman"/>
          <w:b/>
          <w:sz w:val="24"/>
          <w:szCs w:val="24"/>
        </w:rPr>
        <w:t>gada</w:t>
      </w:r>
      <w:r w:rsidR="00835FF8">
        <w:rPr>
          <w:rFonts w:ascii="Times New Roman" w:hAnsi="Times New Roman" w:cs="Times New Roman"/>
          <w:b/>
          <w:sz w:val="24"/>
          <w:szCs w:val="24"/>
        </w:rPr>
        <w:t xml:space="preserve"> starptautiskā no</w:t>
      </w:r>
      <w:r w:rsidR="005C26B2" w:rsidRPr="006913F3">
        <w:rPr>
          <w:rFonts w:ascii="Times New Roman" w:hAnsi="Times New Roman" w:cs="Times New Roman"/>
          <w:b/>
          <w:sz w:val="24"/>
          <w:szCs w:val="24"/>
        </w:rPr>
        <w:t>vērtējuma rezultātiem</w:t>
      </w:r>
    </w:p>
    <w:p w14:paraId="371951AD" w14:textId="64EF30C5" w:rsidR="005C26B2" w:rsidRPr="006913F3" w:rsidRDefault="004044EA" w:rsidP="00A46C3C">
      <w:pPr>
        <w:jc w:val="center"/>
        <w:rPr>
          <w:rFonts w:ascii="Times New Roman" w:hAnsi="Times New Roman" w:cs="Times New Roman"/>
          <w:sz w:val="24"/>
          <w:szCs w:val="24"/>
        </w:rPr>
      </w:pPr>
      <w:r w:rsidRPr="00755FAE">
        <w:rPr>
          <w:rFonts w:ascii="Times New Roman" w:hAnsi="Times New Roman" w:cs="Times New Roman"/>
          <w:b/>
          <w:sz w:val="24"/>
          <w:szCs w:val="24"/>
        </w:rPr>
        <w:t>1.</w:t>
      </w:r>
      <w:r w:rsidR="00835FF8" w:rsidRPr="00755FAE">
        <w:rPr>
          <w:rFonts w:ascii="Times New Roman" w:hAnsi="Times New Roman" w:cs="Times New Roman"/>
          <w:b/>
          <w:sz w:val="24"/>
          <w:szCs w:val="24"/>
        </w:rPr>
        <w:t xml:space="preserve"> </w:t>
      </w:r>
      <w:r w:rsidRPr="00755FAE">
        <w:rPr>
          <w:rFonts w:ascii="Times New Roman" w:hAnsi="Times New Roman" w:cs="Times New Roman"/>
          <w:b/>
          <w:sz w:val="24"/>
          <w:szCs w:val="24"/>
        </w:rPr>
        <w:t>tabula.</w:t>
      </w:r>
      <w:r w:rsidRPr="006913F3">
        <w:rPr>
          <w:rFonts w:ascii="Times New Roman" w:hAnsi="Times New Roman" w:cs="Times New Roman"/>
          <w:b/>
          <w:sz w:val="24"/>
          <w:szCs w:val="24"/>
        </w:rPr>
        <w:t xml:space="preserve"> </w:t>
      </w:r>
      <w:r w:rsidR="00A46C3C" w:rsidRPr="006913F3">
        <w:rPr>
          <w:rFonts w:ascii="Times New Roman" w:hAnsi="Times New Roman" w:cs="Times New Roman"/>
          <w:sz w:val="24"/>
          <w:szCs w:val="24"/>
        </w:rPr>
        <w:t>Apkopojums par gala vērtējumiem valsts zinātniskajās institūcijās</w:t>
      </w:r>
    </w:p>
    <w:tbl>
      <w:tblPr>
        <w:tblStyle w:val="TableGrid"/>
        <w:tblW w:w="0" w:type="auto"/>
        <w:tblLook w:val="04A0" w:firstRow="1" w:lastRow="0" w:firstColumn="1" w:lastColumn="0" w:noHBand="0" w:noVBand="1"/>
      </w:tblPr>
      <w:tblGrid>
        <w:gridCol w:w="1980"/>
        <w:gridCol w:w="7756"/>
      </w:tblGrid>
      <w:tr w:rsidR="00A46C3C" w:rsidRPr="006913F3" w14:paraId="72B81408" w14:textId="77777777" w:rsidTr="00A46C3C">
        <w:tc>
          <w:tcPr>
            <w:tcW w:w="1980" w:type="dxa"/>
          </w:tcPr>
          <w:p w14:paraId="1F40A870" w14:textId="0C0F8BF6" w:rsidR="00A46C3C" w:rsidRPr="006913F3" w:rsidRDefault="00A46C3C" w:rsidP="00A46C3C">
            <w:pPr>
              <w:jc w:val="center"/>
              <w:rPr>
                <w:rFonts w:ascii="Times New Roman" w:hAnsi="Times New Roman" w:cs="Times New Roman"/>
                <w:sz w:val="24"/>
                <w:szCs w:val="24"/>
              </w:rPr>
            </w:pPr>
            <w:r w:rsidRPr="006913F3">
              <w:rPr>
                <w:rFonts w:ascii="Times New Roman" w:hAnsi="Times New Roman" w:cs="Times New Roman"/>
                <w:sz w:val="24"/>
                <w:szCs w:val="24"/>
              </w:rPr>
              <w:t>Gala vērtējums</w:t>
            </w:r>
          </w:p>
        </w:tc>
        <w:tc>
          <w:tcPr>
            <w:tcW w:w="7756" w:type="dxa"/>
          </w:tcPr>
          <w:p w14:paraId="0E8A825E" w14:textId="472ED8EC" w:rsidR="00A46C3C" w:rsidRPr="006913F3" w:rsidRDefault="002C75A3" w:rsidP="00A46C3C">
            <w:pPr>
              <w:jc w:val="center"/>
              <w:rPr>
                <w:rFonts w:ascii="Times New Roman" w:hAnsi="Times New Roman" w:cs="Times New Roman"/>
                <w:sz w:val="24"/>
                <w:szCs w:val="24"/>
              </w:rPr>
            </w:pPr>
            <w:r>
              <w:rPr>
                <w:rFonts w:ascii="Times New Roman" w:hAnsi="Times New Roman" w:cs="Times New Roman"/>
                <w:sz w:val="24"/>
                <w:szCs w:val="24"/>
              </w:rPr>
              <w:t>Valsts zinātniskā i</w:t>
            </w:r>
            <w:r w:rsidR="00A46C3C" w:rsidRPr="006913F3">
              <w:rPr>
                <w:rFonts w:ascii="Times New Roman" w:hAnsi="Times New Roman" w:cs="Times New Roman"/>
                <w:sz w:val="24"/>
                <w:szCs w:val="24"/>
              </w:rPr>
              <w:t>nstitūcija</w:t>
            </w:r>
          </w:p>
        </w:tc>
      </w:tr>
      <w:tr w:rsidR="00A46C3C" w:rsidRPr="006913F3" w14:paraId="25C5CA01" w14:textId="77777777" w:rsidTr="00D57144">
        <w:tc>
          <w:tcPr>
            <w:tcW w:w="1980" w:type="dxa"/>
            <w:vAlign w:val="center"/>
          </w:tcPr>
          <w:p w14:paraId="1AE5667A" w14:textId="617A97ED" w:rsidR="00A46C3C" w:rsidRPr="006913F3" w:rsidRDefault="00A46C3C" w:rsidP="00D57144">
            <w:pPr>
              <w:jc w:val="center"/>
              <w:rPr>
                <w:rFonts w:ascii="Times New Roman" w:hAnsi="Times New Roman" w:cs="Times New Roman"/>
                <w:b/>
                <w:sz w:val="24"/>
                <w:szCs w:val="24"/>
              </w:rPr>
            </w:pPr>
            <w:r w:rsidRPr="006913F3">
              <w:rPr>
                <w:rFonts w:ascii="Times New Roman" w:hAnsi="Times New Roman" w:cs="Times New Roman"/>
                <w:b/>
                <w:sz w:val="24"/>
                <w:szCs w:val="24"/>
              </w:rPr>
              <w:t>5</w:t>
            </w:r>
          </w:p>
        </w:tc>
        <w:tc>
          <w:tcPr>
            <w:tcW w:w="7756" w:type="dxa"/>
          </w:tcPr>
          <w:p w14:paraId="0AC0CC10" w14:textId="77777777" w:rsidR="00A46C3C" w:rsidRPr="006913F3" w:rsidRDefault="00A46C3C" w:rsidP="00A46C3C">
            <w:pPr>
              <w:jc w:val="center"/>
              <w:rPr>
                <w:rFonts w:ascii="Times New Roman" w:hAnsi="Times New Roman" w:cs="Times New Roman"/>
                <w:sz w:val="24"/>
                <w:szCs w:val="24"/>
              </w:rPr>
            </w:pPr>
            <w:r w:rsidRPr="006913F3">
              <w:rPr>
                <w:rFonts w:ascii="Times New Roman" w:hAnsi="Times New Roman" w:cs="Times New Roman"/>
                <w:sz w:val="24"/>
                <w:szCs w:val="24"/>
              </w:rPr>
              <w:t>Latvijas Organiskās sintēzes institūts</w:t>
            </w:r>
          </w:p>
          <w:p w14:paraId="6D991BA0" w14:textId="6F6D8967" w:rsidR="00A46C3C" w:rsidRPr="006913F3" w:rsidRDefault="00562455" w:rsidP="00F92C9C">
            <w:pPr>
              <w:jc w:val="center"/>
              <w:rPr>
                <w:rFonts w:ascii="Times New Roman" w:hAnsi="Times New Roman" w:cs="Times New Roman"/>
                <w:sz w:val="24"/>
                <w:szCs w:val="24"/>
              </w:rPr>
            </w:pPr>
            <w:r>
              <w:rPr>
                <w:rFonts w:ascii="Times New Roman" w:hAnsi="Times New Roman" w:cs="Times New Roman"/>
                <w:sz w:val="24"/>
                <w:szCs w:val="24"/>
              </w:rPr>
              <w:t xml:space="preserve">Latvijas Universitātes </w:t>
            </w:r>
            <w:r w:rsidR="00A46C3C" w:rsidRPr="006913F3">
              <w:rPr>
                <w:rFonts w:ascii="Times New Roman" w:hAnsi="Times New Roman" w:cs="Times New Roman"/>
                <w:sz w:val="24"/>
                <w:szCs w:val="24"/>
              </w:rPr>
              <w:t>Literatūras folkloras un mākslas institūts</w:t>
            </w:r>
          </w:p>
        </w:tc>
      </w:tr>
      <w:tr w:rsidR="00A46C3C" w:rsidRPr="006913F3" w14:paraId="163E9C12" w14:textId="77777777" w:rsidTr="00D57144">
        <w:tc>
          <w:tcPr>
            <w:tcW w:w="1980" w:type="dxa"/>
            <w:vAlign w:val="center"/>
          </w:tcPr>
          <w:p w14:paraId="2FE34C06" w14:textId="124BFDB4" w:rsidR="00A46C3C" w:rsidRPr="006913F3" w:rsidRDefault="00A46C3C" w:rsidP="00D57144">
            <w:pPr>
              <w:jc w:val="center"/>
              <w:rPr>
                <w:rFonts w:ascii="Times New Roman" w:hAnsi="Times New Roman" w:cs="Times New Roman"/>
                <w:b/>
                <w:sz w:val="24"/>
                <w:szCs w:val="24"/>
              </w:rPr>
            </w:pPr>
            <w:r w:rsidRPr="006913F3">
              <w:rPr>
                <w:rFonts w:ascii="Times New Roman" w:hAnsi="Times New Roman" w:cs="Times New Roman"/>
                <w:b/>
                <w:sz w:val="24"/>
                <w:szCs w:val="24"/>
              </w:rPr>
              <w:t>4</w:t>
            </w:r>
          </w:p>
        </w:tc>
        <w:tc>
          <w:tcPr>
            <w:tcW w:w="7756" w:type="dxa"/>
          </w:tcPr>
          <w:p w14:paraId="20771DE4" w14:textId="47205CFC"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Valsts zinātniskais institūts - atvasināta publiska persona “</w:t>
            </w:r>
            <w:r w:rsidR="00A46C3C" w:rsidRPr="00A04C15">
              <w:rPr>
                <w:rFonts w:ascii="Times New Roman" w:hAnsi="Times New Roman" w:cs="Times New Roman"/>
                <w:sz w:val="24"/>
                <w:szCs w:val="24"/>
              </w:rPr>
              <w:t>Latvijas Valsts Mežzinātnes institūts "Silava"</w:t>
            </w:r>
            <w:r w:rsidRPr="00A04C15">
              <w:rPr>
                <w:rFonts w:ascii="Times New Roman" w:hAnsi="Times New Roman" w:cs="Times New Roman"/>
                <w:sz w:val="24"/>
                <w:szCs w:val="24"/>
              </w:rPr>
              <w:t>”</w:t>
            </w:r>
          </w:p>
          <w:p w14:paraId="14C27877"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(Datorzinātņu un informācijas tehnoloģijas fakultāte)</w:t>
            </w:r>
          </w:p>
          <w:p w14:paraId="03942F65" w14:textId="4E1F0C4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w:t>
            </w:r>
            <w:r w:rsidR="003C04F0" w:rsidRPr="00A04C15">
              <w:rPr>
                <w:rFonts w:ascii="Times New Roman" w:hAnsi="Times New Roman" w:cs="Times New Roman"/>
                <w:sz w:val="24"/>
                <w:szCs w:val="24"/>
              </w:rPr>
              <w:t>Enerģētikas un elektrotehnikas fakultāte</w:t>
            </w:r>
            <w:r w:rsidRPr="00A04C15">
              <w:rPr>
                <w:rFonts w:ascii="Times New Roman" w:hAnsi="Times New Roman" w:cs="Times New Roman"/>
                <w:sz w:val="24"/>
                <w:szCs w:val="24"/>
              </w:rPr>
              <w:t>)</w:t>
            </w:r>
          </w:p>
          <w:p w14:paraId="66EAF813"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(Materiālzinātnes un lietišķās ķīmijas fakultāte)</w:t>
            </w:r>
          </w:p>
          <w:p w14:paraId="5F3BEE8E" w14:textId="2791755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Stradiņa universitāte (</w:t>
            </w:r>
            <w:r w:rsidR="003C04F0" w:rsidRPr="00A04C15">
              <w:rPr>
                <w:rFonts w:ascii="Times New Roman" w:hAnsi="Times New Roman" w:cs="Times New Roman"/>
                <w:sz w:val="24"/>
                <w:szCs w:val="24"/>
              </w:rPr>
              <w:t>M</w:t>
            </w:r>
            <w:r w:rsidRPr="00A04C15">
              <w:rPr>
                <w:rFonts w:ascii="Times New Roman" w:hAnsi="Times New Roman" w:cs="Times New Roman"/>
                <w:sz w:val="24"/>
                <w:szCs w:val="24"/>
              </w:rPr>
              <w:t>edicīnas platforma)</w:t>
            </w:r>
          </w:p>
          <w:p w14:paraId="193BAEE1" w14:textId="579AEE7A"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Valsts zinātniskais institūts - atvasināta publiska persona “</w:t>
            </w:r>
            <w:r w:rsidR="00A46C3C" w:rsidRPr="00A04C15">
              <w:rPr>
                <w:rFonts w:ascii="Times New Roman" w:hAnsi="Times New Roman" w:cs="Times New Roman"/>
                <w:sz w:val="24"/>
                <w:szCs w:val="24"/>
              </w:rPr>
              <w:t>Latvijas Valsts koksnes ķīmijas institūts</w:t>
            </w:r>
            <w:r w:rsidRPr="00A04C15">
              <w:rPr>
                <w:rFonts w:ascii="Times New Roman" w:hAnsi="Times New Roman" w:cs="Times New Roman"/>
                <w:sz w:val="24"/>
                <w:szCs w:val="24"/>
              </w:rPr>
              <w:t>”</w:t>
            </w:r>
          </w:p>
          <w:p w14:paraId="21B0B9CB" w14:textId="3B8F122C"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Universitātes</w:t>
            </w:r>
            <w:r w:rsidR="00A40206" w:rsidRPr="00A04C15">
              <w:rPr>
                <w:rFonts w:ascii="Times New Roman" w:hAnsi="Times New Roman" w:cs="Times New Roman"/>
                <w:sz w:val="24"/>
                <w:szCs w:val="24"/>
              </w:rPr>
              <w:t xml:space="preserve"> zinātniskais institūts - atvasināta publiska persona “Latvijas Universitātes </w:t>
            </w:r>
            <w:r w:rsidR="00A46C3C" w:rsidRPr="00A04C15">
              <w:rPr>
                <w:rFonts w:ascii="Times New Roman" w:hAnsi="Times New Roman" w:cs="Times New Roman"/>
                <w:sz w:val="24"/>
                <w:szCs w:val="24"/>
              </w:rPr>
              <w:t>Cietvielu fizikas institūts</w:t>
            </w:r>
          </w:p>
          <w:p w14:paraId="13D4623D"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Nacionālā bibliotēka</w:t>
            </w:r>
          </w:p>
          <w:p w14:paraId="55C96832"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Mākslas akadēmija</w:t>
            </w:r>
          </w:p>
          <w:p w14:paraId="2AAF1C2F"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Kultūras akadēmija</w:t>
            </w:r>
          </w:p>
          <w:p w14:paraId="1AD8FEA2" w14:textId="136E0A7E"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Valsts zinātniskais institūts - atvasināta publiska persona “</w:t>
            </w:r>
            <w:r w:rsidR="00A46C3C" w:rsidRPr="00A04C15">
              <w:rPr>
                <w:rFonts w:ascii="Times New Roman" w:hAnsi="Times New Roman" w:cs="Times New Roman"/>
                <w:sz w:val="24"/>
                <w:szCs w:val="24"/>
              </w:rPr>
              <w:t>Elektronikas un datorzinātņu institūts</w:t>
            </w:r>
            <w:r w:rsidRPr="00A04C15">
              <w:rPr>
                <w:rFonts w:ascii="Times New Roman" w:hAnsi="Times New Roman" w:cs="Times New Roman"/>
                <w:sz w:val="24"/>
                <w:szCs w:val="24"/>
              </w:rPr>
              <w:t>”</w:t>
            </w:r>
          </w:p>
          <w:p w14:paraId="11AD523D" w14:textId="31F5477D"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Daugavpils Universitāte (</w:t>
            </w:r>
            <w:r w:rsidR="003C04F0" w:rsidRPr="00A04C15">
              <w:rPr>
                <w:rFonts w:ascii="Times New Roman" w:hAnsi="Times New Roman" w:cs="Times New Roman"/>
                <w:sz w:val="24"/>
                <w:szCs w:val="24"/>
              </w:rPr>
              <w:t>Pētniecības programma “Reģionālistika, literatūra un mākslas”</w:t>
            </w:r>
            <w:r w:rsidRPr="00A04C15">
              <w:rPr>
                <w:rFonts w:ascii="Times New Roman" w:hAnsi="Times New Roman" w:cs="Times New Roman"/>
                <w:sz w:val="24"/>
                <w:szCs w:val="24"/>
              </w:rPr>
              <w:t>)</w:t>
            </w:r>
          </w:p>
          <w:p w14:paraId="4138A947" w14:textId="06540B5A"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Valsts zinātniskais institūts - atvasināta publiska persona “</w:t>
            </w:r>
            <w:r w:rsidR="00A46C3C" w:rsidRPr="00A04C15">
              <w:rPr>
                <w:rFonts w:ascii="Times New Roman" w:hAnsi="Times New Roman" w:cs="Times New Roman"/>
                <w:sz w:val="24"/>
                <w:szCs w:val="24"/>
              </w:rPr>
              <w:t>Latvijas Biomedicīnas pētījumu un studiju centrs</w:t>
            </w:r>
            <w:r w:rsidRPr="00A04C15">
              <w:rPr>
                <w:rFonts w:ascii="Times New Roman" w:hAnsi="Times New Roman" w:cs="Times New Roman"/>
                <w:sz w:val="24"/>
                <w:szCs w:val="24"/>
              </w:rPr>
              <w:t>”</w:t>
            </w:r>
          </w:p>
          <w:p w14:paraId="3DE85CD8" w14:textId="015DEB87"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Valsts zinātniskais institūts - atvasināta publiska persona “</w:t>
            </w:r>
            <w:r w:rsidR="00A46C3C" w:rsidRPr="00A04C15">
              <w:rPr>
                <w:rFonts w:ascii="Times New Roman" w:hAnsi="Times New Roman" w:cs="Times New Roman"/>
                <w:sz w:val="24"/>
                <w:szCs w:val="24"/>
              </w:rPr>
              <w:t>Pārtikas drošības, dzīvnieku veselības un vides zinātniskais institūts "BIOR"</w:t>
            </w:r>
            <w:r w:rsidRPr="00A04C15">
              <w:rPr>
                <w:rFonts w:ascii="Times New Roman" w:hAnsi="Times New Roman" w:cs="Times New Roman"/>
                <w:sz w:val="24"/>
                <w:szCs w:val="24"/>
              </w:rPr>
              <w:t>”</w:t>
            </w:r>
          </w:p>
        </w:tc>
      </w:tr>
      <w:tr w:rsidR="00A46C3C" w:rsidRPr="006913F3" w14:paraId="6C16B2E9" w14:textId="77777777" w:rsidTr="00D57144">
        <w:tc>
          <w:tcPr>
            <w:tcW w:w="1980" w:type="dxa"/>
            <w:vAlign w:val="center"/>
          </w:tcPr>
          <w:p w14:paraId="7AF60A98" w14:textId="4D040769" w:rsidR="00A46C3C" w:rsidRPr="006913F3" w:rsidRDefault="00A46C3C" w:rsidP="00D57144">
            <w:pPr>
              <w:jc w:val="center"/>
              <w:rPr>
                <w:rFonts w:ascii="Times New Roman" w:hAnsi="Times New Roman" w:cs="Times New Roman"/>
                <w:b/>
                <w:sz w:val="24"/>
                <w:szCs w:val="24"/>
              </w:rPr>
            </w:pPr>
            <w:r w:rsidRPr="006913F3">
              <w:rPr>
                <w:rFonts w:ascii="Times New Roman" w:hAnsi="Times New Roman" w:cs="Times New Roman"/>
                <w:b/>
                <w:sz w:val="24"/>
                <w:szCs w:val="24"/>
              </w:rPr>
              <w:t>3</w:t>
            </w:r>
          </w:p>
        </w:tc>
        <w:tc>
          <w:tcPr>
            <w:tcW w:w="7756" w:type="dxa"/>
          </w:tcPr>
          <w:p w14:paraId="1F755AE4"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Vidzemes Augstskola</w:t>
            </w:r>
          </w:p>
          <w:p w14:paraId="742CA7FA" w14:textId="615325AD"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Ventspils Augstskola  (</w:t>
            </w:r>
            <w:r w:rsidR="003C04F0" w:rsidRPr="00A04C15">
              <w:rPr>
                <w:rFonts w:ascii="Times New Roman" w:hAnsi="Times New Roman" w:cs="Times New Roman"/>
                <w:sz w:val="24"/>
                <w:szCs w:val="24"/>
              </w:rPr>
              <w:t>Dabas zinātņu pētniecības platforma</w:t>
            </w:r>
            <w:r w:rsidRPr="00A04C15">
              <w:rPr>
                <w:rFonts w:ascii="Times New Roman" w:hAnsi="Times New Roman" w:cs="Times New Roman"/>
                <w:sz w:val="24"/>
                <w:szCs w:val="24"/>
              </w:rPr>
              <w:t>)</w:t>
            </w:r>
          </w:p>
          <w:p w14:paraId="70352923"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(Arhitektūras fakultāte)</w:t>
            </w:r>
          </w:p>
          <w:p w14:paraId="427825B7"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(Būvniecības inženierzinātņu fakultāte)</w:t>
            </w:r>
          </w:p>
          <w:p w14:paraId="164BBD04"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(Elektronikas un telekomunikāciju fakultāte)</w:t>
            </w:r>
          </w:p>
          <w:p w14:paraId="729F0CA1"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Rīgas Tehniskā universitāte (Inženiereknomikas un vadības fakultāte)</w:t>
            </w:r>
          </w:p>
          <w:p w14:paraId="5AB475F2" w14:textId="749CE781"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lastRenderedPageBreak/>
              <w:t>Rēzeknes Tehnoloģiju akadēmija (</w:t>
            </w:r>
            <w:r w:rsidR="004044EA" w:rsidRPr="00A04C15">
              <w:rPr>
                <w:rFonts w:ascii="Times New Roman" w:hAnsi="Times New Roman" w:cs="Times New Roman"/>
                <w:sz w:val="24"/>
                <w:szCs w:val="24"/>
              </w:rPr>
              <w:t>Reģionālistikas zinātniskais institūts</w:t>
            </w:r>
            <w:r w:rsidRPr="00A04C15">
              <w:rPr>
                <w:rFonts w:ascii="Times New Roman" w:hAnsi="Times New Roman" w:cs="Times New Roman"/>
                <w:sz w:val="24"/>
                <w:szCs w:val="24"/>
              </w:rPr>
              <w:t>)</w:t>
            </w:r>
          </w:p>
          <w:p w14:paraId="581DAFB0" w14:textId="262533F7" w:rsidR="00A46C3C" w:rsidRPr="00A04C15" w:rsidRDefault="003C04F0" w:rsidP="00A04C15">
            <w:pPr>
              <w:jc w:val="both"/>
              <w:rPr>
                <w:rFonts w:ascii="Times New Roman" w:hAnsi="Times New Roman" w:cs="Times New Roman"/>
                <w:sz w:val="24"/>
                <w:szCs w:val="24"/>
              </w:rPr>
            </w:pPr>
            <w:r w:rsidRPr="00A04C15">
              <w:rPr>
                <w:rFonts w:ascii="Times New Roman" w:hAnsi="Times New Roman" w:cs="Times New Roman"/>
                <w:sz w:val="24"/>
                <w:szCs w:val="24"/>
              </w:rPr>
              <w:t>Rīgas Stradiņa universitāte (S</w:t>
            </w:r>
            <w:r w:rsidR="00A46C3C" w:rsidRPr="00A04C15">
              <w:rPr>
                <w:rFonts w:ascii="Times New Roman" w:hAnsi="Times New Roman" w:cs="Times New Roman"/>
                <w:sz w:val="24"/>
                <w:szCs w:val="24"/>
              </w:rPr>
              <w:t>abiedrības veselības platforma)</w:t>
            </w:r>
          </w:p>
          <w:p w14:paraId="05E9C690" w14:textId="598E0AD9"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 xml:space="preserve">Rīgas </w:t>
            </w:r>
            <w:r w:rsidR="003C04F0" w:rsidRPr="00A04C15">
              <w:rPr>
                <w:rFonts w:ascii="Times New Roman" w:hAnsi="Times New Roman" w:cs="Times New Roman"/>
                <w:sz w:val="24"/>
                <w:szCs w:val="24"/>
              </w:rPr>
              <w:t>Stradiņa universitāte (S</w:t>
            </w:r>
            <w:r w:rsidRPr="00A04C15">
              <w:rPr>
                <w:rFonts w:ascii="Times New Roman" w:hAnsi="Times New Roman" w:cs="Times New Roman"/>
                <w:sz w:val="24"/>
                <w:szCs w:val="24"/>
              </w:rPr>
              <w:t>ociālo zinātņu platforma)</w:t>
            </w:r>
          </w:p>
          <w:p w14:paraId="74732AB2" w14:textId="7AB8F527"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w:t>
            </w:r>
            <w:r w:rsidRPr="00A04C15">
              <w:rPr>
                <w:rFonts w:ascii="Times New Roman" w:hAnsi="Times New Roman" w:cs="Times New Roman"/>
                <w:color w:val="1B1B1B"/>
                <w:sz w:val="24"/>
                <w:szCs w:val="24"/>
                <w:shd w:val="clear" w:color="auto" w:fill="FFFFFF"/>
              </w:rPr>
              <w:t xml:space="preserve">s zinātniskais institūts – atvasināta publiska persona – "Latvijas Universitātes </w:t>
            </w:r>
            <w:r w:rsidR="00A46C3C" w:rsidRPr="00A04C15">
              <w:rPr>
                <w:rFonts w:ascii="Times New Roman" w:hAnsi="Times New Roman" w:cs="Times New Roman"/>
                <w:sz w:val="24"/>
                <w:szCs w:val="24"/>
              </w:rPr>
              <w:t>Matemātikas un informātikas institūts</w:t>
            </w:r>
            <w:r w:rsidRPr="00A04C15">
              <w:rPr>
                <w:rFonts w:ascii="Times New Roman" w:hAnsi="Times New Roman" w:cs="Times New Roman"/>
                <w:sz w:val="24"/>
                <w:szCs w:val="24"/>
              </w:rPr>
              <w:t>a’</w:t>
            </w:r>
          </w:p>
          <w:p w14:paraId="0139EB33" w14:textId="405B8B92"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 (</w:t>
            </w:r>
            <w:r w:rsidR="003C04F0" w:rsidRPr="00A04C15">
              <w:rPr>
                <w:rFonts w:ascii="Times New Roman" w:hAnsi="Times New Roman" w:cs="Times New Roman"/>
                <w:sz w:val="24"/>
                <w:szCs w:val="24"/>
              </w:rPr>
              <w:t>Dabaszinātņu klāsteris</w:t>
            </w:r>
            <w:r w:rsidRPr="00A04C15">
              <w:rPr>
                <w:rFonts w:ascii="Times New Roman" w:hAnsi="Times New Roman" w:cs="Times New Roman"/>
                <w:sz w:val="24"/>
                <w:szCs w:val="24"/>
              </w:rPr>
              <w:t>)</w:t>
            </w:r>
          </w:p>
          <w:p w14:paraId="2600B2CF" w14:textId="1D1CEAAD"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 (</w:t>
            </w:r>
            <w:r w:rsidR="003C04F0" w:rsidRPr="00A04C15">
              <w:rPr>
                <w:rFonts w:ascii="Times New Roman" w:hAnsi="Times New Roman" w:cs="Times New Roman"/>
                <w:sz w:val="24"/>
                <w:szCs w:val="24"/>
              </w:rPr>
              <w:t>Humanitāro un mākslas zinātņu klāsteris</w:t>
            </w:r>
            <w:r w:rsidRPr="00A04C15">
              <w:rPr>
                <w:rFonts w:ascii="Times New Roman" w:hAnsi="Times New Roman" w:cs="Times New Roman"/>
                <w:sz w:val="24"/>
                <w:szCs w:val="24"/>
              </w:rPr>
              <w:t>)</w:t>
            </w:r>
          </w:p>
          <w:p w14:paraId="03D87A48" w14:textId="63D08952"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 (</w:t>
            </w:r>
            <w:r w:rsidR="003C04F0" w:rsidRPr="00A04C15">
              <w:rPr>
                <w:rFonts w:ascii="Times New Roman" w:hAnsi="Times New Roman" w:cs="Times New Roman"/>
                <w:sz w:val="24"/>
                <w:szCs w:val="24"/>
              </w:rPr>
              <w:t>Medicīnas un veselības zinātņu klāsteris</w:t>
            </w:r>
            <w:r w:rsidRPr="00A04C15">
              <w:rPr>
                <w:rFonts w:ascii="Times New Roman" w:hAnsi="Times New Roman" w:cs="Times New Roman"/>
                <w:sz w:val="24"/>
                <w:szCs w:val="24"/>
              </w:rPr>
              <w:t>)</w:t>
            </w:r>
          </w:p>
          <w:p w14:paraId="22D7DB49" w14:textId="5970C394" w:rsidR="00A46C3C" w:rsidRPr="00A04C15" w:rsidRDefault="004044EA"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Universitāte (</w:t>
            </w:r>
            <w:r w:rsidR="003C04F0" w:rsidRPr="00A04C15">
              <w:rPr>
                <w:rFonts w:ascii="Times New Roman" w:hAnsi="Times New Roman" w:cs="Times New Roman"/>
                <w:sz w:val="24"/>
                <w:szCs w:val="24"/>
              </w:rPr>
              <w:t>Sociālo zinātņu klāsteris</w:t>
            </w:r>
            <w:r w:rsidR="00A46C3C" w:rsidRPr="00A04C15">
              <w:rPr>
                <w:rFonts w:ascii="Times New Roman" w:hAnsi="Times New Roman" w:cs="Times New Roman"/>
                <w:sz w:val="24"/>
                <w:szCs w:val="24"/>
              </w:rPr>
              <w:t>)</w:t>
            </w:r>
          </w:p>
          <w:p w14:paraId="4E04476A" w14:textId="402FBF8C"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Lauksaimniecības universitāte (</w:t>
            </w:r>
            <w:r w:rsidR="003C04F0" w:rsidRPr="00A04C15">
              <w:rPr>
                <w:rFonts w:ascii="Times New Roman" w:hAnsi="Times New Roman" w:cs="Times New Roman"/>
                <w:sz w:val="24"/>
                <w:szCs w:val="24"/>
              </w:rPr>
              <w:t>Inženierzinātnes un tehnoloģijas vienība</w:t>
            </w:r>
            <w:r w:rsidRPr="00A04C15">
              <w:rPr>
                <w:rFonts w:ascii="Times New Roman" w:hAnsi="Times New Roman" w:cs="Times New Roman"/>
                <w:sz w:val="24"/>
                <w:szCs w:val="24"/>
              </w:rPr>
              <w:t>)</w:t>
            </w:r>
          </w:p>
          <w:p w14:paraId="15347F12" w14:textId="7DD1B33A"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 xml:space="preserve">Latvijas </w:t>
            </w:r>
            <w:r w:rsidR="003C04F0" w:rsidRPr="00A04C15">
              <w:rPr>
                <w:rFonts w:ascii="Times New Roman" w:hAnsi="Times New Roman" w:cs="Times New Roman"/>
                <w:sz w:val="24"/>
                <w:szCs w:val="24"/>
              </w:rPr>
              <w:t>Lauksaimniecības universitāte (S</w:t>
            </w:r>
            <w:r w:rsidRPr="00A04C15">
              <w:rPr>
                <w:rFonts w:ascii="Times New Roman" w:hAnsi="Times New Roman" w:cs="Times New Roman"/>
                <w:sz w:val="24"/>
                <w:szCs w:val="24"/>
              </w:rPr>
              <w:t>ociālās zinātnes)</w:t>
            </w:r>
          </w:p>
          <w:p w14:paraId="19FB9156" w14:textId="5744BE3D"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Liepājas Universitāte (</w:t>
            </w:r>
            <w:r w:rsidR="003C04F0" w:rsidRPr="00A04C15">
              <w:rPr>
                <w:rFonts w:ascii="Times New Roman" w:hAnsi="Times New Roman" w:cs="Times New Roman"/>
                <w:sz w:val="24"/>
                <w:szCs w:val="24"/>
              </w:rPr>
              <w:t>Humanitāro un mākslas zinātņu vērtējamā vienība</w:t>
            </w:r>
            <w:r w:rsidRPr="00A04C15">
              <w:rPr>
                <w:rFonts w:ascii="Times New Roman" w:hAnsi="Times New Roman" w:cs="Times New Roman"/>
                <w:sz w:val="24"/>
                <w:szCs w:val="24"/>
              </w:rPr>
              <w:t>)</w:t>
            </w:r>
          </w:p>
          <w:p w14:paraId="630341C5" w14:textId="77777777"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Jāzepa Vītola Latvijas Mūzikas akadēmija</w:t>
            </w:r>
          </w:p>
          <w:p w14:paraId="0EFEFEE2" w14:textId="24A1CAD6"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 xml:space="preserve">Daugavpils Universitāte </w:t>
            </w:r>
            <w:r w:rsidR="00A46C3C" w:rsidRPr="00A04C15">
              <w:rPr>
                <w:rFonts w:ascii="Times New Roman" w:hAnsi="Times New Roman" w:cs="Times New Roman"/>
                <w:sz w:val="24"/>
                <w:szCs w:val="24"/>
              </w:rPr>
              <w:t xml:space="preserve">aģentūra </w:t>
            </w:r>
            <w:r w:rsidRPr="00A04C15">
              <w:rPr>
                <w:rFonts w:ascii="Times New Roman" w:hAnsi="Times New Roman" w:cs="Times New Roman"/>
                <w:sz w:val="24"/>
                <w:szCs w:val="24"/>
              </w:rPr>
              <w:t>– zinātniskais institūts “</w:t>
            </w:r>
            <w:r w:rsidR="00A46C3C" w:rsidRPr="00A04C15">
              <w:rPr>
                <w:rFonts w:ascii="Times New Roman" w:hAnsi="Times New Roman" w:cs="Times New Roman"/>
                <w:sz w:val="24"/>
                <w:szCs w:val="24"/>
              </w:rPr>
              <w:t>Latvijas Hidroekoloģijas institūts</w:t>
            </w:r>
            <w:r w:rsidRPr="00A04C15">
              <w:rPr>
                <w:rFonts w:ascii="Times New Roman" w:hAnsi="Times New Roman" w:cs="Times New Roman"/>
                <w:sz w:val="24"/>
                <w:szCs w:val="24"/>
              </w:rPr>
              <w:t>”</w:t>
            </w:r>
          </w:p>
          <w:p w14:paraId="6784CF2F" w14:textId="5F199270"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Daugavpils Universitāte (</w:t>
            </w:r>
            <w:r w:rsidR="003C04F0" w:rsidRPr="00A04C15">
              <w:rPr>
                <w:rFonts w:ascii="Times New Roman" w:hAnsi="Times New Roman" w:cs="Times New Roman"/>
                <w:sz w:val="24"/>
                <w:szCs w:val="24"/>
              </w:rPr>
              <w:t>Pētniecības programma “Bioloģija”</w:t>
            </w:r>
            <w:r w:rsidRPr="00A04C15">
              <w:rPr>
                <w:rFonts w:ascii="Times New Roman" w:hAnsi="Times New Roman" w:cs="Times New Roman"/>
                <w:sz w:val="24"/>
                <w:szCs w:val="24"/>
              </w:rPr>
              <w:t>)</w:t>
            </w:r>
          </w:p>
          <w:p w14:paraId="6D0D28EB" w14:textId="6BC0B921" w:rsidR="00A46C3C" w:rsidRPr="00A04C15" w:rsidRDefault="00A46C3C" w:rsidP="00A04C15">
            <w:pPr>
              <w:jc w:val="both"/>
              <w:rPr>
                <w:rFonts w:ascii="Times New Roman" w:hAnsi="Times New Roman" w:cs="Times New Roman"/>
                <w:sz w:val="24"/>
                <w:szCs w:val="24"/>
              </w:rPr>
            </w:pPr>
            <w:r w:rsidRPr="00A04C15">
              <w:rPr>
                <w:rFonts w:ascii="Times New Roman" w:hAnsi="Times New Roman" w:cs="Times New Roman"/>
                <w:sz w:val="24"/>
                <w:szCs w:val="24"/>
              </w:rPr>
              <w:t>Daugavpils Universitāte (</w:t>
            </w:r>
            <w:r w:rsidR="003C04F0" w:rsidRPr="00A04C15">
              <w:rPr>
                <w:rFonts w:ascii="Times New Roman" w:hAnsi="Times New Roman" w:cs="Times New Roman"/>
                <w:sz w:val="24"/>
                <w:szCs w:val="24"/>
              </w:rPr>
              <w:t>Pētniecības programma “Izglītības zinātnes, psiholoģija, ekonomika un tiesību zinātne”</w:t>
            </w:r>
            <w:r w:rsidRPr="00A04C15">
              <w:rPr>
                <w:rFonts w:ascii="Times New Roman" w:hAnsi="Times New Roman" w:cs="Times New Roman"/>
                <w:sz w:val="24"/>
                <w:szCs w:val="24"/>
              </w:rPr>
              <w:t>)</w:t>
            </w:r>
          </w:p>
          <w:p w14:paraId="2CE7C053" w14:textId="26D4126C" w:rsidR="00A46C3C" w:rsidRPr="00A04C15" w:rsidRDefault="00F92C9C"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Lauksaimniecības universitātes zinātniskai institūts - “</w:t>
            </w:r>
            <w:r w:rsidR="00A46C3C" w:rsidRPr="00A04C15">
              <w:rPr>
                <w:rFonts w:ascii="Times New Roman" w:hAnsi="Times New Roman" w:cs="Times New Roman"/>
                <w:sz w:val="24"/>
                <w:szCs w:val="24"/>
              </w:rPr>
              <w:t>Dārzkopības institūts</w:t>
            </w:r>
            <w:r w:rsidRPr="00A04C15">
              <w:rPr>
                <w:rFonts w:ascii="Times New Roman" w:hAnsi="Times New Roman" w:cs="Times New Roman"/>
                <w:sz w:val="24"/>
                <w:szCs w:val="24"/>
              </w:rPr>
              <w:t>”</w:t>
            </w:r>
          </w:p>
          <w:p w14:paraId="4C0161EE" w14:textId="4E798B4B" w:rsidR="00A46C3C" w:rsidRPr="00A04C15" w:rsidRDefault="00A40206" w:rsidP="00A04C15">
            <w:pPr>
              <w:jc w:val="both"/>
              <w:rPr>
                <w:rFonts w:ascii="Times New Roman" w:hAnsi="Times New Roman" w:cs="Times New Roman"/>
                <w:sz w:val="24"/>
                <w:szCs w:val="24"/>
              </w:rPr>
            </w:pPr>
            <w:r w:rsidRPr="00A04C15">
              <w:rPr>
                <w:rFonts w:ascii="Times New Roman" w:hAnsi="Times New Roman" w:cs="Times New Roman"/>
                <w:sz w:val="24"/>
                <w:szCs w:val="24"/>
              </w:rPr>
              <w:t>Latvijas Lauksaimniecības universitātes zinātniskai institūts - atvasināta publiska persona “</w:t>
            </w:r>
            <w:r w:rsidR="00A46C3C" w:rsidRPr="00A04C15">
              <w:rPr>
                <w:rFonts w:ascii="Times New Roman" w:hAnsi="Times New Roman" w:cs="Times New Roman"/>
                <w:sz w:val="24"/>
                <w:szCs w:val="24"/>
              </w:rPr>
              <w:t>Agroresursu un ekonomikas institūts</w:t>
            </w:r>
            <w:r w:rsidRPr="00A04C15">
              <w:rPr>
                <w:rFonts w:ascii="Times New Roman" w:hAnsi="Times New Roman" w:cs="Times New Roman"/>
                <w:sz w:val="24"/>
                <w:szCs w:val="24"/>
              </w:rPr>
              <w:t>”</w:t>
            </w:r>
          </w:p>
        </w:tc>
      </w:tr>
      <w:tr w:rsidR="00A46C3C" w:rsidRPr="006913F3" w14:paraId="2EE3C2EA" w14:textId="77777777" w:rsidTr="00D57144">
        <w:tc>
          <w:tcPr>
            <w:tcW w:w="1980" w:type="dxa"/>
            <w:vAlign w:val="center"/>
          </w:tcPr>
          <w:p w14:paraId="3DDA917A" w14:textId="2ADCCCB1" w:rsidR="00A46C3C" w:rsidRPr="006913F3" w:rsidRDefault="00D57144" w:rsidP="00D57144">
            <w:pPr>
              <w:jc w:val="center"/>
              <w:rPr>
                <w:rFonts w:ascii="Times New Roman" w:hAnsi="Times New Roman" w:cs="Times New Roman"/>
                <w:b/>
                <w:sz w:val="24"/>
                <w:szCs w:val="24"/>
              </w:rPr>
            </w:pPr>
            <w:r w:rsidRPr="006913F3">
              <w:rPr>
                <w:rFonts w:ascii="Times New Roman" w:hAnsi="Times New Roman" w:cs="Times New Roman"/>
                <w:b/>
                <w:sz w:val="24"/>
                <w:szCs w:val="24"/>
              </w:rPr>
              <w:lastRenderedPageBreak/>
              <w:t>2</w:t>
            </w:r>
          </w:p>
        </w:tc>
        <w:tc>
          <w:tcPr>
            <w:tcW w:w="7756" w:type="dxa"/>
          </w:tcPr>
          <w:p w14:paraId="4C7D4F8D" w14:textId="328D4A83"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Ventspils Augstskola  (</w:t>
            </w:r>
            <w:r w:rsidR="003C04F0" w:rsidRPr="006913F3">
              <w:rPr>
                <w:rFonts w:ascii="Times New Roman" w:hAnsi="Times New Roman" w:cs="Times New Roman"/>
                <w:sz w:val="24"/>
                <w:szCs w:val="24"/>
              </w:rPr>
              <w:t>Inženierzinātņu un tehnoloģiju pētniecības platforma</w:t>
            </w:r>
            <w:r w:rsidRPr="006913F3">
              <w:rPr>
                <w:rFonts w:ascii="Times New Roman" w:hAnsi="Times New Roman" w:cs="Times New Roman"/>
                <w:sz w:val="24"/>
                <w:szCs w:val="24"/>
              </w:rPr>
              <w:t>)</w:t>
            </w:r>
          </w:p>
          <w:p w14:paraId="7E61BA59" w14:textId="27E498AA"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Ventspils Augstskola  (</w:t>
            </w:r>
            <w:r w:rsidR="003C04F0" w:rsidRPr="006913F3">
              <w:rPr>
                <w:rFonts w:ascii="Times New Roman" w:hAnsi="Times New Roman" w:cs="Times New Roman"/>
                <w:sz w:val="24"/>
                <w:szCs w:val="24"/>
              </w:rPr>
              <w:t>Humanitāro zinātņu pētniecības platforma</w:t>
            </w:r>
            <w:r w:rsidRPr="006913F3">
              <w:rPr>
                <w:rFonts w:ascii="Times New Roman" w:hAnsi="Times New Roman" w:cs="Times New Roman"/>
                <w:sz w:val="24"/>
                <w:szCs w:val="24"/>
              </w:rPr>
              <w:t>)</w:t>
            </w:r>
          </w:p>
          <w:p w14:paraId="0636D847" w14:textId="77777777"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Rīgas Tehniskā universitāte (Mašīnzinību, transporta un aeronautikas fakultāte)</w:t>
            </w:r>
          </w:p>
          <w:p w14:paraId="0113DDA9" w14:textId="693D911D"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Rēzeknes Tehnoloģiju akadēmija (</w:t>
            </w:r>
            <w:r w:rsidR="003C04F0" w:rsidRPr="006913F3">
              <w:rPr>
                <w:rFonts w:ascii="Times New Roman" w:hAnsi="Times New Roman" w:cs="Times New Roman"/>
                <w:sz w:val="24"/>
                <w:szCs w:val="24"/>
              </w:rPr>
              <w:t>Biznesa un sabiedrības procesu pētniecības institūts</w:t>
            </w:r>
            <w:r w:rsidRPr="006913F3">
              <w:rPr>
                <w:rFonts w:ascii="Times New Roman" w:hAnsi="Times New Roman" w:cs="Times New Roman"/>
                <w:sz w:val="24"/>
                <w:szCs w:val="24"/>
              </w:rPr>
              <w:t>)</w:t>
            </w:r>
          </w:p>
          <w:p w14:paraId="722B42E8" w14:textId="7082AF3B"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Rēzeknes Tehnoloģiju akadēmija (</w:t>
            </w:r>
            <w:r w:rsidR="003C04F0" w:rsidRPr="006913F3">
              <w:rPr>
                <w:rFonts w:ascii="Times New Roman" w:hAnsi="Times New Roman" w:cs="Times New Roman"/>
                <w:sz w:val="24"/>
                <w:szCs w:val="24"/>
              </w:rPr>
              <w:t>Inženierzinātņu institūts</w:t>
            </w:r>
            <w:r w:rsidRPr="006913F3">
              <w:rPr>
                <w:rFonts w:ascii="Times New Roman" w:hAnsi="Times New Roman" w:cs="Times New Roman"/>
                <w:sz w:val="24"/>
                <w:szCs w:val="24"/>
              </w:rPr>
              <w:t>)</w:t>
            </w:r>
          </w:p>
          <w:p w14:paraId="00B2A610" w14:textId="77777777"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Latvijas Sporta pedagoģijas akadēmija</w:t>
            </w:r>
          </w:p>
          <w:p w14:paraId="6099627E" w14:textId="3B6B8840"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Latvijas Lauksaimniecības universitāte (</w:t>
            </w:r>
            <w:r w:rsidR="003C04F0" w:rsidRPr="006913F3">
              <w:rPr>
                <w:rFonts w:ascii="Times New Roman" w:hAnsi="Times New Roman" w:cs="Times New Roman"/>
                <w:sz w:val="24"/>
                <w:szCs w:val="24"/>
              </w:rPr>
              <w:t>Lauksaimniecības, meža un veterinārās zinātnes</w:t>
            </w:r>
            <w:r w:rsidRPr="006913F3">
              <w:rPr>
                <w:rFonts w:ascii="Times New Roman" w:hAnsi="Times New Roman" w:cs="Times New Roman"/>
                <w:sz w:val="24"/>
                <w:szCs w:val="24"/>
              </w:rPr>
              <w:t>)</w:t>
            </w:r>
          </w:p>
          <w:p w14:paraId="77645BD4" w14:textId="14FA4A0D"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Liepājas Universitāte (</w:t>
            </w:r>
            <w:r w:rsidR="003C04F0" w:rsidRPr="006913F3">
              <w:rPr>
                <w:rFonts w:ascii="Times New Roman" w:hAnsi="Times New Roman" w:cs="Times New Roman"/>
                <w:sz w:val="24"/>
                <w:szCs w:val="24"/>
              </w:rPr>
              <w:t>Ekonomikas un uzņēmējdarbības vienība</w:t>
            </w:r>
            <w:r w:rsidRPr="006913F3">
              <w:rPr>
                <w:rFonts w:ascii="Times New Roman" w:hAnsi="Times New Roman" w:cs="Times New Roman"/>
                <w:sz w:val="24"/>
                <w:szCs w:val="24"/>
              </w:rPr>
              <w:t>)</w:t>
            </w:r>
          </w:p>
          <w:p w14:paraId="5A7FCF6E" w14:textId="66EFBE41"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Liepājas Universitāte (</w:t>
            </w:r>
            <w:r w:rsidR="003C04F0" w:rsidRPr="006913F3">
              <w:rPr>
                <w:rFonts w:ascii="Times New Roman" w:hAnsi="Times New Roman" w:cs="Times New Roman"/>
                <w:sz w:val="24"/>
                <w:szCs w:val="24"/>
              </w:rPr>
              <w:t>Inženierzinātņu un tehnoloģiju vienība</w:t>
            </w:r>
            <w:r w:rsidRPr="006913F3">
              <w:rPr>
                <w:rFonts w:ascii="Times New Roman" w:hAnsi="Times New Roman" w:cs="Times New Roman"/>
                <w:sz w:val="24"/>
                <w:szCs w:val="24"/>
              </w:rPr>
              <w:t>)</w:t>
            </w:r>
          </w:p>
          <w:p w14:paraId="74459982" w14:textId="05D32D95" w:rsidR="00D57144" w:rsidRPr="006913F3" w:rsidRDefault="00A40206" w:rsidP="00A04C15">
            <w:pPr>
              <w:jc w:val="both"/>
              <w:rPr>
                <w:rFonts w:ascii="Times New Roman" w:hAnsi="Times New Roman" w:cs="Times New Roman"/>
                <w:sz w:val="24"/>
                <w:szCs w:val="24"/>
              </w:rPr>
            </w:pPr>
            <w:r>
              <w:t>Valsts zinātniskais institūts - atvasināta publiska persona</w:t>
            </w:r>
            <w:r w:rsidRPr="006913F3">
              <w:rPr>
                <w:rFonts w:ascii="Times New Roman" w:hAnsi="Times New Roman" w:cs="Times New Roman"/>
                <w:sz w:val="24"/>
                <w:szCs w:val="24"/>
              </w:rPr>
              <w:t xml:space="preserve"> </w:t>
            </w:r>
            <w:r>
              <w:rPr>
                <w:rFonts w:ascii="Times New Roman" w:hAnsi="Times New Roman" w:cs="Times New Roman"/>
                <w:sz w:val="24"/>
                <w:szCs w:val="24"/>
              </w:rPr>
              <w:t>“</w:t>
            </w:r>
            <w:r w:rsidR="00D57144" w:rsidRPr="006913F3">
              <w:rPr>
                <w:rFonts w:ascii="Times New Roman" w:hAnsi="Times New Roman" w:cs="Times New Roman"/>
                <w:sz w:val="24"/>
                <w:szCs w:val="24"/>
              </w:rPr>
              <w:t>Fizikālās enerģētikas institūts</w:t>
            </w:r>
            <w:r>
              <w:rPr>
                <w:rFonts w:ascii="Times New Roman" w:hAnsi="Times New Roman" w:cs="Times New Roman"/>
                <w:sz w:val="24"/>
                <w:szCs w:val="24"/>
              </w:rPr>
              <w:t>”</w:t>
            </w:r>
          </w:p>
          <w:p w14:paraId="2D1EF54E" w14:textId="77777777"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Drošības un stratēģiskās pētniecības centrs</w:t>
            </w:r>
          </w:p>
          <w:p w14:paraId="050BC07A" w14:textId="17B58C87" w:rsidR="00A46C3C"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Banku Augstskola</w:t>
            </w:r>
          </w:p>
        </w:tc>
      </w:tr>
      <w:tr w:rsidR="00A46C3C" w:rsidRPr="006913F3" w14:paraId="3DCD09D9" w14:textId="77777777" w:rsidTr="00D57144">
        <w:tc>
          <w:tcPr>
            <w:tcW w:w="1980" w:type="dxa"/>
            <w:vAlign w:val="center"/>
          </w:tcPr>
          <w:p w14:paraId="72B9667E" w14:textId="3CA6170F" w:rsidR="00A46C3C" w:rsidRPr="006913F3" w:rsidRDefault="00D57144" w:rsidP="00D57144">
            <w:pPr>
              <w:jc w:val="center"/>
              <w:rPr>
                <w:rFonts w:ascii="Times New Roman" w:hAnsi="Times New Roman" w:cs="Times New Roman"/>
                <w:b/>
                <w:sz w:val="24"/>
                <w:szCs w:val="24"/>
              </w:rPr>
            </w:pPr>
            <w:r w:rsidRPr="006913F3">
              <w:rPr>
                <w:rFonts w:ascii="Times New Roman" w:hAnsi="Times New Roman" w:cs="Times New Roman"/>
                <w:b/>
                <w:sz w:val="24"/>
                <w:szCs w:val="24"/>
              </w:rPr>
              <w:t>1</w:t>
            </w:r>
          </w:p>
        </w:tc>
        <w:tc>
          <w:tcPr>
            <w:tcW w:w="7756" w:type="dxa"/>
          </w:tcPr>
          <w:p w14:paraId="151678E9" w14:textId="77777777" w:rsidR="00D57144"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Latvijas Jūras akadēmija</w:t>
            </w:r>
          </w:p>
          <w:p w14:paraId="4D9DE7A8" w14:textId="21F037D4" w:rsidR="00A46C3C" w:rsidRPr="006913F3" w:rsidRDefault="00D57144" w:rsidP="00A04C15">
            <w:pPr>
              <w:jc w:val="both"/>
              <w:rPr>
                <w:rFonts w:ascii="Times New Roman" w:hAnsi="Times New Roman" w:cs="Times New Roman"/>
                <w:sz w:val="24"/>
                <w:szCs w:val="24"/>
              </w:rPr>
            </w:pPr>
            <w:r w:rsidRPr="006913F3">
              <w:rPr>
                <w:rFonts w:ascii="Times New Roman" w:hAnsi="Times New Roman" w:cs="Times New Roman"/>
                <w:sz w:val="24"/>
                <w:szCs w:val="24"/>
              </w:rPr>
              <w:t>Daugavpils Universitāte (</w:t>
            </w:r>
            <w:r w:rsidR="003C04F0" w:rsidRPr="006913F3">
              <w:rPr>
                <w:rFonts w:ascii="Times New Roman" w:hAnsi="Times New Roman" w:cs="Times New Roman"/>
                <w:sz w:val="24"/>
                <w:szCs w:val="24"/>
              </w:rPr>
              <w:t>Pētniecības programma “Matemātika, fizika un ķīmija"</w:t>
            </w:r>
            <w:r w:rsidRPr="006913F3">
              <w:rPr>
                <w:rFonts w:ascii="Times New Roman" w:hAnsi="Times New Roman" w:cs="Times New Roman"/>
                <w:sz w:val="24"/>
                <w:szCs w:val="24"/>
              </w:rPr>
              <w:t>)</w:t>
            </w:r>
          </w:p>
        </w:tc>
      </w:tr>
    </w:tbl>
    <w:p w14:paraId="13C81051" w14:textId="77777777" w:rsidR="00A46C3C" w:rsidRPr="006913F3" w:rsidRDefault="00A46C3C" w:rsidP="00AD525C">
      <w:pPr>
        <w:jc w:val="both"/>
        <w:rPr>
          <w:rFonts w:ascii="Times New Roman" w:hAnsi="Times New Roman" w:cs="Times New Roman"/>
          <w:sz w:val="24"/>
          <w:szCs w:val="24"/>
        </w:rPr>
      </w:pPr>
    </w:p>
    <w:p w14:paraId="14ACE10C" w14:textId="69796D94" w:rsidR="00D57144" w:rsidRDefault="003C04F0"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Valsts</w:t>
      </w:r>
      <w:r w:rsidR="002C75A3">
        <w:rPr>
          <w:rFonts w:ascii="Times New Roman" w:hAnsi="Times New Roman" w:cs="Times New Roman"/>
          <w:sz w:val="24"/>
          <w:szCs w:val="24"/>
        </w:rPr>
        <w:t xml:space="preserve"> zinātnisko insitūciju</w:t>
      </w:r>
      <w:r w:rsidR="002C75A3" w:rsidRPr="006913F3" w:rsidDel="002C75A3">
        <w:rPr>
          <w:rFonts w:ascii="Times New Roman" w:hAnsi="Times New Roman" w:cs="Times New Roman"/>
          <w:sz w:val="24"/>
          <w:szCs w:val="24"/>
        </w:rPr>
        <w:t xml:space="preserve"> </w:t>
      </w:r>
      <w:r w:rsidRPr="006913F3">
        <w:rPr>
          <w:rFonts w:ascii="Times New Roman" w:hAnsi="Times New Roman" w:cs="Times New Roman"/>
          <w:sz w:val="24"/>
          <w:szCs w:val="24"/>
        </w:rPr>
        <w:t>saņemtie vērtējumi ir plašā amplitūdā, gan institūcijām, kurām ir saņemts visaugstākais vērtējums (5), gan aptverot institūcijas, vai to vērtē</w:t>
      </w:r>
      <w:r w:rsidR="00EA4EEA">
        <w:rPr>
          <w:rFonts w:ascii="Times New Roman" w:hAnsi="Times New Roman" w:cs="Times New Roman"/>
          <w:sz w:val="24"/>
          <w:szCs w:val="24"/>
        </w:rPr>
        <w:t xml:space="preserve">jamās vienības, </w:t>
      </w:r>
      <w:r w:rsidR="008B4668">
        <w:rPr>
          <w:rFonts w:ascii="Times New Roman" w:hAnsi="Times New Roman" w:cs="Times New Roman"/>
          <w:sz w:val="24"/>
          <w:szCs w:val="24"/>
        </w:rPr>
        <w:t xml:space="preserve">kuru </w:t>
      </w:r>
      <w:r w:rsidR="00EA4EEA">
        <w:rPr>
          <w:rFonts w:ascii="Times New Roman" w:hAnsi="Times New Roman" w:cs="Times New Roman"/>
          <w:sz w:val="24"/>
          <w:szCs w:val="24"/>
        </w:rPr>
        <w:t>saņemtie novērtējuma</w:t>
      </w:r>
      <w:r w:rsidR="00CC34F9" w:rsidRPr="006913F3">
        <w:rPr>
          <w:rFonts w:ascii="Times New Roman" w:hAnsi="Times New Roman" w:cs="Times New Roman"/>
          <w:sz w:val="24"/>
          <w:szCs w:val="24"/>
        </w:rPr>
        <w:t xml:space="preserve"> rezultāti norāda uz būtiskiem nepieciešamajiem zinātniskās darbības uzlabojumiem līdz nākošajam </w:t>
      </w:r>
      <w:r w:rsidR="00EA4EEA">
        <w:rPr>
          <w:rFonts w:ascii="Times New Roman" w:hAnsi="Times New Roman" w:cs="Times New Roman"/>
          <w:sz w:val="24"/>
          <w:szCs w:val="24"/>
        </w:rPr>
        <w:t>novērtējumam</w:t>
      </w:r>
      <w:r w:rsidR="00CC34F9" w:rsidRPr="006913F3">
        <w:rPr>
          <w:rFonts w:ascii="Times New Roman" w:hAnsi="Times New Roman" w:cs="Times New Roman"/>
          <w:sz w:val="24"/>
          <w:szCs w:val="24"/>
        </w:rPr>
        <w:t xml:space="preserve"> 2025.</w:t>
      </w:r>
      <w:r w:rsidR="00835FF8">
        <w:rPr>
          <w:rFonts w:ascii="Times New Roman" w:hAnsi="Times New Roman" w:cs="Times New Roman"/>
          <w:sz w:val="24"/>
          <w:szCs w:val="24"/>
        </w:rPr>
        <w:t xml:space="preserve"> </w:t>
      </w:r>
      <w:r w:rsidR="00CC34F9" w:rsidRPr="006913F3">
        <w:rPr>
          <w:rFonts w:ascii="Times New Roman" w:hAnsi="Times New Roman" w:cs="Times New Roman"/>
          <w:sz w:val="24"/>
          <w:szCs w:val="24"/>
        </w:rPr>
        <w:t xml:space="preserve">gadā. </w:t>
      </w:r>
    </w:p>
    <w:p w14:paraId="2F66E382" w14:textId="5B418E95" w:rsidR="008B4668" w:rsidRDefault="008B4668" w:rsidP="00A04C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2019.gadā, ņemot vērā Ministru kabineta </w:t>
      </w:r>
      <w:r w:rsidR="002C75A3">
        <w:rPr>
          <w:rFonts w:ascii="Times New Roman" w:hAnsi="Times New Roman" w:cs="Times New Roman"/>
          <w:sz w:val="24"/>
          <w:szCs w:val="24"/>
        </w:rPr>
        <w:t xml:space="preserve">2018.gada 2.oktobra </w:t>
      </w:r>
      <w:r>
        <w:rPr>
          <w:rFonts w:ascii="Times New Roman" w:hAnsi="Times New Roman" w:cs="Times New Roman"/>
          <w:sz w:val="24"/>
          <w:szCs w:val="24"/>
        </w:rPr>
        <w:t>noteikumu „</w:t>
      </w:r>
      <w:r w:rsidRPr="008B4668">
        <w:rPr>
          <w:rFonts w:ascii="Times New Roman" w:hAnsi="Times New Roman" w:cs="Times New Roman"/>
          <w:sz w:val="24"/>
          <w:szCs w:val="24"/>
        </w:rPr>
        <w:t>Zinātnisko institūciju darbības starptautiskā novērtējuma organizēšanas kārtība</w:t>
      </w:r>
      <w:r>
        <w:rPr>
          <w:rFonts w:ascii="Times New Roman" w:hAnsi="Times New Roman" w:cs="Times New Roman"/>
          <w:sz w:val="24"/>
          <w:szCs w:val="24"/>
        </w:rPr>
        <w:t>” 2.punktu,</w:t>
      </w:r>
      <w:r w:rsidR="006E627B">
        <w:rPr>
          <w:rFonts w:ascii="Times New Roman" w:hAnsi="Times New Roman" w:cs="Times New Roman"/>
          <w:sz w:val="24"/>
          <w:szCs w:val="24"/>
        </w:rPr>
        <w:t xml:space="preserve"> 2019.gada</w:t>
      </w:r>
      <w:r>
        <w:rPr>
          <w:rFonts w:ascii="Times New Roman" w:hAnsi="Times New Roman" w:cs="Times New Roman"/>
          <w:sz w:val="24"/>
          <w:szCs w:val="24"/>
        </w:rPr>
        <w:t xml:space="preserve"> </w:t>
      </w:r>
      <w:r w:rsidR="006E627B">
        <w:rPr>
          <w:rFonts w:ascii="Times New Roman" w:hAnsi="Times New Roman" w:cs="Times New Roman"/>
          <w:sz w:val="24"/>
          <w:szCs w:val="24"/>
        </w:rPr>
        <w:t>z</w:t>
      </w:r>
      <w:r w:rsidR="006E627B" w:rsidRPr="008B4668">
        <w:rPr>
          <w:rFonts w:ascii="Times New Roman" w:hAnsi="Times New Roman" w:cs="Times New Roman"/>
          <w:sz w:val="24"/>
          <w:szCs w:val="24"/>
        </w:rPr>
        <w:t>inātnisko in</w:t>
      </w:r>
      <w:r w:rsidR="006E627B">
        <w:rPr>
          <w:rFonts w:ascii="Times New Roman" w:hAnsi="Times New Roman" w:cs="Times New Roman"/>
          <w:sz w:val="24"/>
          <w:szCs w:val="24"/>
        </w:rPr>
        <w:t xml:space="preserve">stitūciju darbības starptautisko </w:t>
      </w:r>
      <w:r>
        <w:rPr>
          <w:rFonts w:ascii="Times New Roman" w:hAnsi="Times New Roman" w:cs="Times New Roman"/>
          <w:sz w:val="24"/>
          <w:szCs w:val="24"/>
        </w:rPr>
        <w:t>novērtējumu</w:t>
      </w:r>
      <w:r w:rsidR="006E627B">
        <w:rPr>
          <w:rFonts w:ascii="Times New Roman" w:hAnsi="Times New Roman" w:cs="Times New Roman"/>
          <w:sz w:val="24"/>
          <w:szCs w:val="24"/>
        </w:rPr>
        <w:t xml:space="preserve"> (turpmāk – 2019.gada novērtējums)</w:t>
      </w:r>
      <w:r>
        <w:rPr>
          <w:rFonts w:ascii="Times New Roman" w:hAnsi="Times New Roman" w:cs="Times New Roman"/>
          <w:sz w:val="24"/>
          <w:szCs w:val="24"/>
        </w:rPr>
        <w:t xml:space="preserve"> organizēja </w:t>
      </w:r>
      <w:r w:rsidR="00A04C15">
        <w:rPr>
          <w:rFonts w:ascii="Times New Roman" w:hAnsi="Times New Roman" w:cs="Times New Roman"/>
          <w:sz w:val="24"/>
          <w:szCs w:val="24"/>
        </w:rPr>
        <w:lastRenderedPageBreak/>
        <w:t>ministrija izpildei piesaistot</w:t>
      </w:r>
      <w:r w:rsidR="00A04C15" w:rsidRPr="00A04C15">
        <w:rPr>
          <w:rFonts w:ascii="Times New Roman" w:hAnsi="Times New Roman" w:cs="Times New Roman"/>
          <w:sz w:val="24"/>
          <w:szCs w:val="24"/>
        </w:rPr>
        <w:t xml:space="preserve"> Technopolis Group Eesti OÜ, atbilstoši noslēgtajam līgumam Nr. 2-6.1e/19/90, tajā skaitā nodrošinot novērtējuma metodoloģijas izstrādi, ārvalstu ekspertu piesaisti un novērtējuma darba organizāciju, kā arī ārvalstu ekspertu ziņojuma par zinātnisko institūciju novērtējumu sagatavošanu.</w:t>
      </w:r>
      <w:r w:rsidR="00F81054">
        <w:rPr>
          <w:rFonts w:ascii="Times New Roman" w:hAnsi="Times New Roman" w:cs="Times New Roman"/>
          <w:sz w:val="24"/>
          <w:szCs w:val="24"/>
        </w:rPr>
        <w:t>.</w:t>
      </w:r>
    </w:p>
    <w:p w14:paraId="2558DD03" w14:textId="77777777" w:rsidR="002C75A3" w:rsidRPr="00104388" w:rsidRDefault="002C75A3" w:rsidP="00A04C15">
      <w:pPr>
        <w:spacing w:after="0" w:line="240" w:lineRule="auto"/>
        <w:ind w:firstLine="720"/>
        <w:jc w:val="both"/>
        <w:rPr>
          <w:rFonts w:ascii="Times New Roman" w:hAnsi="Times New Roman" w:cs="Times New Roman"/>
          <w:sz w:val="24"/>
          <w:szCs w:val="24"/>
        </w:rPr>
      </w:pPr>
    </w:p>
    <w:p w14:paraId="2CEC4068" w14:textId="0A09E25E" w:rsidR="005C26B2" w:rsidRDefault="00104388" w:rsidP="00A04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835FF8">
        <w:rPr>
          <w:rFonts w:ascii="Times New Roman" w:hAnsi="Times New Roman" w:cs="Times New Roman"/>
          <w:b/>
          <w:sz w:val="24"/>
          <w:szCs w:val="24"/>
        </w:rPr>
        <w:t xml:space="preserve">. </w:t>
      </w:r>
      <w:r w:rsidR="00A04C15">
        <w:rPr>
          <w:rFonts w:ascii="Times New Roman" w:hAnsi="Times New Roman" w:cs="Times New Roman"/>
          <w:b/>
          <w:sz w:val="24"/>
          <w:szCs w:val="24"/>
        </w:rPr>
        <w:t>Kopsavilkums par galvenajiem</w:t>
      </w:r>
      <w:r w:rsidR="00A04C15" w:rsidRPr="006913F3">
        <w:rPr>
          <w:rFonts w:ascii="Times New Roman" w:hAnsi="Times New Roman" w:cs="Times New Roman"/>
          <w:b/>
          <w:sz w:val="24"/>
          <w:szCs w:val="24"/>
        </w:rPr>
        <w:t xml:space="preserve"> </w:t>
      </w:r>
      <w:r w:rsidR="00A04C15">
        <w:rPr>
          <w:rFonts w:ascii="Times New Roman" w:hAnsi="Times New Roman" w:cs="Times New Roman"/>
          <w:b/>
          <w:sz w:val="24"/>
          <w:szCs w:val="24"/>
        </w:rPr>
        <w:t>izvērtējuma</w:t>
      </w:r>
      <w:r w:rsidR="00A04C15" w:rsidRPr="006913F3">
        <w:rPr>
          <w:rFonts w:ascii="Times New Roman" w:hAnsi="Times New Roman" w:cs="Times New Roman"/>
          <w:b/>
          <w:sz w:val="24"/>
          <w:szCs w:val="24"/>
        </w:rPr>
        <w:t xml:space="preserve"> </w:t>
      </w:r>
      <w:r w:rsidR="00A04C15">
        <w:rPr>
          <w:rFonts w:ascii="Times New Roman" w:hAnsi="Times New Roman" w:cs="Times New Roman"/>
          <w:b/>
          <w:sz w:val="24"/>
          <w:szCs w:val="24"/>
        </w:rPr>
        <w:t>secinājumiem</w:t>
      </w:r>
      <w:r w:rsidR="00A04C15">
        <w:rPr>
          <w:rStyle w:val="FootnoteReference"/>
          <w:rFonts w:ascii="Times New Roman" w:hAnsi="Times New Roman" w:cs="Times New Roman"/>
          <w:b/>
          <w:sz w:val="24"/>
          <w:szCs w:val="24"/>
        </w:rPr>
        <w:footnoteReference w:id="4"/>
      </w:r>
    </w:p>
    <w:p w14:paraId="5D237748" w14:textId="77777777" w:rsidR="002C75A3" w:rsidRPr="006913F3" w:rsidRDefault="002C75A3" w:rsidP="00A04C15">
      <w:pPr>
        <w:spacing w:after="0" w:line="240" w:lineRule="auto"/>
        <w:jc w:val="center"/>
        <w:rPr>
          <w:rFonts w:ascii="Times New Roman" w:hAnsi="Times New Roman" w:cs="Times New Roman"/>
          <w:b/>
          <w:sz w:val="24"/>
          <w:szCs w:val="24"/>
        </w:rPr>
      </w:pPr>
    </w:p>
    <w:p w14:paraId="353A5138" w14:textId="63CC5702"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1</w:t>
      </w:r>
      <w:r w:rsidRPr="00755FAE">
        <w:rPr>
          <w:rFonts w:ascii="Times New Roman" w:hAnsi="Times New Roman" w:cs="Times New Roman"/>
          <w:b/>
          <w:sz w:val="24"/>
          <w:szCs w:val="24"/>
        </w:rPr>
        <w:t xml:space="preserve">. </w:t>
      </w:r>
      <w:r w:rsidR="00F81054" w:rsidRPr="00755FAE">
        <w:rPr>
          <w:rFonts w:ascii="Times New Roman" w:hAnsi="Times New Roman" w:cs="Times New Roman"/>
          <w:b/>
          <w:sz w:val="24"/>
          <w:szCs w:val="24"/>
        </w:rPr>
        <w:t xml:space="preserve">Latvijas zinātnē </w:t>
      </w:r>
      <w:r w:rsidR="00F81054">
        <w:rPr>
          <w:rFonts w:ascii="Times New Roman" w:hAnsi="Times New Roman" w:cs="Times New Roman"/>
          <w:b/>
          <w:sz w:val="24"/>
          <w:szCs w:val="24"/>
        </w:rPr>
        <w:t>i</w:t>
      </w:r>
      <w:r w:rsidRPr="00755FAE">
        <w:rPr>
          <w:rFonts w:ascii="Times New Roman" w:hAnsi="Times New Roman" w:cs="Times New Roman"/>
          <w:b/>
          <w:sz w:val="24"/>
          <w:szCs w:val="24"/>
        </w:rPr>
        <w:t xml:space="preserve">r </w:t>
      </w:r>
      <w:r w:rsidR="00CC34F9" w:rsidRPr="00755FAE">
        <w:rPr>
          <w:rFonts w:ascii="Times New Roman" w:hAnsi="Times New Roman" w:cs="Times New Roman"/>
          <w:b/>
          <w:sz w:val="24"/>
          <w:szCs w:val="24"/>
        </w:rPr>
        <w:t>panākts</w:t>
      </w:r>
      <w:r w:rsidRPr="00755FAE">
        <w:rPr>
          <w:rFonts w:ascii="Times New Roman" w:hAnsi="Times New Roman" w:cs="Times New Roman"/>
          <w:b/>
          <w:sz w:val="24"/>
          <w:szCs w:val="24"/>
        </w:rPr>
        <w:t xml:space="preserve"> ievērojams progress</w:t>
      </w:r>
      <w:r w:rsidRPr="006913F3">
        <w:rPr>
          <w:rFonts w:ascii="Times New Roman" w:hAnsi="Times New Roman" w:cs="Times New Roman"/>
          <w:sz w:val="24"/>
          <w:szCs w:val="24"/>
        </w:rPr>
        <w:t xml:space="preserve"> salīdzinājumā ar iepriekšējo 2013.</w:t>
      </w:r>
      <w:r w:rsidR="00835FF8">
        <w:rPr>
          <w:rFonts w:ascii="Times New Roman" w:hAnsi="Times New Roman" w:cs="Times New Roman"/>
          <w:sz w:val="24"/>
          <w:szCs w:val="24"/>
        </w:rPr>
        <w:t xml:space="preserve"> gada no</w:t>
      </w:r>
      <w:r w:rsidRPr="006913F3">
        <w:rPr>
          <w:rFonts w:ascii="Times New Roman" w:hAnsi="Times New Roman" w:cs="Times New Roman"/>
          <w:sz w:val="24"/>
          <w:szCs w:val="24"/>
        </w:rPr>
        <w:t>vērtējumu, turklāt, progress ir bijis visos 6 vērtēšanas paneļos</w:t>
      </w:r>
      <w:r w:rsidR="00CC34F9" w:rsidRPr="006913F3">
        <w:rPr>
          <w:rFonts w:ascii="Times New Roman" w:hAnsi="Times New Roman" w:cs="Times New Roman"/>
          <w:sz w:val="24"/>
          <w:szCs w:val="24"/>
        </w:rPr>
        <w:t xml:space="preserve"> (</w:t>
      </w:r>
      <w:r w:rsidR="002C75A3">
        <w:rPr>
          <w:rFonts w:ascii="Times New Roman" w:hAnsi="Times New Roman" w:cs="Times New Roman"/>
          <w:sz w:val="24"/>
          <w:szCs w:val="24"/>
        </w:rPr>
        <w:t>Latvijas zinatnes nozares</w:t>
      </w:r>
      <w:r w:rsidR="00A04C15">
        <w:rPr>
          <w:rStyle w:val="FootnoteReference"/>
          <w:rFonts w:ascii="Times New Roman" w:hAnsi="Times New Roman" w:cs="Times New Roman"/>
          <w:sz w:val="24"/>
          <w:szCs w:val="24"/>
        </w:rPr>
        <w:footnoteReference w:id="5"/>
      </w:r>
      <w:r w:rsidR="002C75A3">
        <w:rPr>
          <w:rFonts w:ascii="Times New Roman" w:hAnsi="Times New Roman" w:cs="Times New Roman"/>
          <w:sz w:val="24"/>
          <w:szCs w:val="24"/>
        </w:rPr>
        <w:t xml:space="preserve"> tika grupētas </w:t>
      </w:r>
      <w:r w:rsidR="00CC34F9" w:rsidRPr="006913F3">
        <w:rPr>
          <w:rFonts w:ascii="Times New Roman" w:hAnsi="Times New Roman" w:cs="Times New Roman"/>
          <w:sz w:val="24"/>
          <w:szCs w:val="24"/>
        </w:rPr>
        <w:t>zinātnes nozaru grupās</w:t>
      </w:r>
      <w:r w:rsidR="00A04C15">
        <w:rPr>
          <w:rFonts w:ascii="Times New Roman" w:hAnsi="Times New Roman" w:cs="Times New Roman"/>
          <w:sz w:val="24"/>
          <w:szCs w:val="24"/>
        </w:rPr>
        <w:t>, atbilstoši OECD Frascati rokasgrāmatai</w:t>
      </w:r>
      <w:r w:rsidR="00A04C15">
        <w:rPr>
          <w:rStyle w:val="FootnoteReference"/>
          <w:rFonts w:ascii="Times New Roman" w:hAnsi="Times New Roman" w:cs="Times New Roman"/>
          <w:sz w:val="24"/>
          <w:szCs w:val="24"/>
        </w:rPr>
        <w:footnoteReference w:id="6"/>
      </w:r>
      <w:r w:rsidR="00CC34F9" w:rsidRPr="006913F3">
        <w:rPr>
          <w:rFonts w:ascii="Times New Roman" w:hAnsi="Times New Roman" w:cs="Times New Roman"/>
          <w:sz w:val="24"/>
          <w:szCs w:val="24"/>
        </w:rPr>
        <w:t>)</w:t>
      </w:r>
      <w:r w:rsidRPr="006913F3">
        <w:rPr>
          <w:rFonts w:ascii="Times New Roman" w:hAnsi="Times New Roman" w:cs="Times New Roman"/>
          <w:sz w:val="24"/>
          <w:szCs w:val="24"/>
        </w:rPr>
        <w:t>.</w:t>
      </w:r>
      <w:r w:rsidR="00835FF8">
        <w:rPr>
          <w:rFonts w:ascii="Times New Roman" w:hAnsi="Times New Roman" w:cs="Times New Roman"/>
          <w:sz w:val="24"/>
          <w:szCs w:val="24"/>
        </w:rPr>
        <w:t xml:space="preserve"> Vislielākais no</w:t>
      </w:r>
      <w:r w:rsidR="00CC34F9" w:rsidRPr="006913F3">
        <w:rPr>
          <w:rFonts w:ascii="Times New Roman" w:hAnsi="Times New Roman" w:cs="Times New Roman"/>
          <w:sz w:val="24"/>
          <w:szCs w:val="24"/>
        </w:rPr>
        <w:t>vērtējuma rezultātu pieaugums ir bijis lauksaimniecībā, meža un veterinārajās zinātnēs, humanitārajās un mākslas zinātnēs, kā arī medicīnas un veselības zināt</w:t>
      </w:r>
      <w:r w:rsidR="009F7B7A" w:rsidRPr="006913F3">
        <w:rPr>
          <w:rFonts w:ascii="Times New Roman" w:hAnsi="Times New Roman" w:cs="Times New Roman"/>
          <w:sz w:val="24"/>
          <w:szCs w:val="24"/>
        </w:rPr>
        <w:t xml:space="preserve">nēs, </w:t>
      </w:r>
      <w:r w:rsidR="00F81054">
        <w:rPr>
          <w:rFonts w:ascii="Times New Roman" w:hAnsi="Times New Roman" w:cs="Times New Roman"/>
          <w:sz w:val="24"/>
          <w:szCs w:val="24"/>
        </w:rPr>
        <w:t>salīdzinot</w:t>
      </w:r>
      <w:r w:rsidR="00F81054" w:rsidRPr="006913F3">
        <w:rPr>
          <w:rFonts w:ascii="Times New Roman" w:hAnsi="Times New Roman" w:cs="Times New Roman"/>
          <w:sz w:val="24"/>
          <w:szCs w:val="24"/>
        </w:rPr>
        <w:t xml:space="preserve"> </w:t>
      </w:r>
      <w:r w:rsidR="009F7B7A" w:rsidRPr="006913F3">
        <w:rPr>
          <w:rFonts w:ascii="Times New Roman" w:hAnsi="Times New Roman" w:cs="Times New Roman"/>
          <w:sz w:val="24"/>
          <w:szCs w:val="24"/>
        </w:rPr>
        <w:t>ar 2013.</w:t>
      </w:r>
      <w:r w:rsidR="00835FF8">
        <w:rPr>
          <w:rFonts w:ascii="Times New Roman" w:hAnsi="Times New Roman" w:cs="Times New Roman"/>
          <w:sz w:val="24"/>
          <w:szCs w:val="24"/>
        </w:rPr>
        <w:t xml:space="preserve"> </w:t>
      </w:r>
      <w:r w:rsidR="009F7B7A" w:rsidRPr="006913F3">
        <w:rPr>
          <w:rFonts w:ascii="Times New Roman" w:hAnsi="Times New Roman" w:cs="Times New Roman"/>
          <w:sz w:val="24"/>
          <w:szCs w:val="24"/>
        </w:rPr>
        <w:t>gadu</w:t>
      </w:r>
      <w:r w:rsidR="00CC34F9" w:rsidRPr="006913F3">
        <w:rPr>
          <w:rFonts w:ascii="Times New Roman" w:hAnsi="Times New Roman" w:cs="Times New Roman"/>
          <w:sz w:val="24"/>
          <w:szCs w:val="24"/>
        </w:rPr>
        <w:t>.</w:t>
      </w:r>
    </w:p>
    <w:p w14:paraId="1F6F52EB" w14:textId="0112ED39" w:rsidR="00D57144" w:rsidRPr="006913F3" w:rsidRDefault="00D57144" w:rsidP="00A04C15">
      <w:pPr>
        <w:spacing w:after="0" w:line="240" w:lineRule="auto"/>
        <w:ind w:firstLine="720"/>
        <w:jc w:val="both"/>
        <w:rPr>
          <w:rFonts w:ascii="Times New Roman" w:hAnsi="Times New Roman" w:cs="Times New Roman"/>
          <w:sz w:val="24"/>
          <w:szCs w:val="24"/>
        </w:rPr>
      </w:pPr>
      <w:r w:rsidRPr="00835FF8">
        <w:rPr>
          <w:rFonts w:ascii="Times New Roman" w:hAnsi="Times New Roman" w:cs="Times New Roman"/>
          <w:bCs/>
          <w:sz w:val="24"/>
          <w:szCs w:val="24"/>
        </w:rPr>
        <w:t xml:space="preserve">2. </w:t>
      </w:r>
      <w:r w:rsidRPr="00835FF8">
        <w:rPr>
          <w:rFonts w:ascii="Times New Roman" w:hAnsi="Times New Roman" w:cs="Times New Roman"/>
          <w:b/>
          <w:bCs/>
          <w:sz w:val="24"/>
          <w:szCs w:val="24"/>
        </w:rPr>
        <w:t xml:space="preserve">Latvijai ir aktuāls izaicinājums </w:t>
      </w:r>
      <w:r w:rsidR="00CC34F9" w:rsidRPr="00835FF8">
        <w:rPr>
          <w:rFonts w:ascii="Times New Roman" w:hAnsi="Times New Roman" w:cs="Times New Roman"/>
          <w:b/>
          <w:bCs/>
          <w:sz w:val="24"/>
          <w:szCs w:val="24"/>
        </w:rPr>
        <w:t xml:space="preserve">nodrošināt turpmākajos gados būtisku pētniecības un attīstības (turpmāk – P&amp;A) </w:t>
      </w:r>
      <w:r w:rsidRPr="00835FF8">
        <w:rPr>
          <w:rFonts w:ascii="Times New Roman" w:hAnsi="Times New Roman" w:cs="Times New Roman"/>
          <w:b/>
          <w:bCs/>
          <w:sz w:val="24"/>
          <w:szCs w:val="24"/>
        </w:rPr>
        <w:t>finansējuma palielinājumu</w:t>
      </w:r>
      <w:r w:rsidRPr="00835FF8">
        <w:rPr>
          <w:rFonts w:ascii="Times New Roman" w:hAnsi="Times New Roman" w:cs="Times New Roman"/>
          <w:sz w:val="24"/>
          <w:szCs w:val="24"/>
        </w:rPr>
        <w:t>,</w:t>
      </w:r>
      <w:r w:rsidRPr="006913F3">
        <w:rPr>
          <w:rFonts w:ascii="Times New Roman" w:hAnsi="Times New Roman" w:cs="Times New Roman"/>
          <w:sz w:val="24"/>
          <w:szCs w:val="24"/>
        </w:rPr>
        <w:t xml:space="preserve"> tajā skaitā nepieciešams lielāks </w:t>
      </w:r>
      <w:r w:rsidR="00CC34F9" w:rsidRPr="006913F3">
        <w:rPr>
          <w:rFonts w:ascii="Times New Roman" w:hAnsi="Times New Roman" w:cs="Times New Roman"/>
          <w:sz w:val="24"/>
          <w:szCs w:val="24"/>
        </w:rPr>
        <w:t xml:space="preserve">valsts budžeta </w:t>
      </w:r>
      <w:r w:rsidRPr="006913F3">
        <w:rPr>
          <w:rFonts w:ascii="Times New Roman" w:hAnsi="Times New Roman" w:cs="Times New Roman"/>
          <w:sz w:val="24"/>
          <w:szCs w:val="24"/>
        </w:rPr>
        <w:t>ieguldījums tieši zinātnes bāzes finansējumā</w:t>
      </w:r>
      <w:r w:rsidR="00CB3D28" w:rsidRPr="006913F3">
        <w:rPr>
          <w:rFonts w:ascii="Times New Roman" w:hAnsi="Times New Roman" w:cs="Times New Roman"/>
          <w:iCs/>
          <w:sz w:val="24"/>
          <w:szCs w:val="24"/>
        </w:rPr>
        <w:t xml:space="preserve">, kurš kalpo kā </w:t>
      </w:r>
      <w:r w:rsidR="00CC34F9" w:rsidRPr="006913F3">
        <w:rPr>
          <w:rFonts w:ascii="Times New Roman" w:hAnsi="Times New Roman" w:cs="Times New Roman"/>
          <w:iCs/>
          <w:sz w:val="24"/>
          <w:szCs w:val="24"/>
        </w:rPr>
        <w:t xml:space="preserve">pamata </w:t>
      </w:r>
      <w:r w:rsidR="00CB3D28" w:rsidRPr="006913F3">
        <w:rPr>
          <w:rFonts w:ascii="Times New Roman" w:hAnsi="Times New Roman" w:cs="Times New Roman"/>
          <w:iCs/>
          <w:sz w:val="24"/>
          <w:szCs w:val="24"/>
        </w:rPr>
        <w:t xml:space="preserve">instruments zinātnisko institūciju </w:t>
      </w:r>
      <w:r w:rsidR="00CC34F9" w:rsidRPr="006913F3">
        <w:rPr>
          <w:rFonts w:ascii="Times New Roman" w:hAnsi="Times New Roman" w:cs="Times New Roman"/>
          <w:iCs/>
          <w:sz w:val="24"/>
          <w:szCs w:val="24"/>
        </w:rPr>
        <w:t>darbības stratēģijā</w:t>
      </w:r>
      <w:r w:rsidR="00CB3D28" w:rsidRPr="006913F3">
        <w:rPr>
          <w:rFonts w:ascii="Times New Roman" w:hAnsi="Times New Roman" w:cs="Times New Roman"/>
          <w:iCs/>
          <w:sz w:val="24"/>
          <w:szCs w:val="24"/>
        </w:rPr>
        <w:t xml:space="preserve"> noteikto attīstības mērķu sasniegšanai.</w:t>
      </w:r>
    </w:p>
    <w:p w14:paraId="0CCCC569" w14:textId="4E234DE4"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3. </w:t>
      </w:r>
      <w:r w:rsidR="00CC34F9" w:rsidRPr="006913F3">
        <w:rPr>
          <w:rFonts w:ascii="Times New Roman" w:hAnsi="Times New Roman" w:cs="Times New Roman"/>
          <w:sz w:val="24"/>
          <w:szCs w:val="24"/>
        </w:rPr>
        <w:t>Turpmākajos gados galvenais i</w:t>
      </w:r>
      <w:r w:rsidRPr="006913F3">
        <w:rPr>
          <w:rFonts w:ascii="Times New Roman" w:hAnsi="Times New Roman" w:cs="Times New Roman"/>
          <w:sz w:val="24"/>
          <w:szCs w:val="24"/>
        </w:rPr>
        <w:t xml:space="preserve">eguldījumu </w:t>
      </w:r>
      <w:r w:rsidR="00CC34F9" w:rsidRPr="006913F3">
        <w:rPr>
          <w:rFonts w:ascii="Times New Roman" w:hAnsi="Times New Roman" w:cs="Times New Roman"/>
          <w:sz w:val="24"/>
          <w:szCs w:val="24"/>
        </w:rPr>
        <w:t xml:space="preserve">P&amp;A </w:t>
      </w:r>
      <w:r w:rsidRPr="006913F3">
        <w:rPr>
          <w:rFonts w:ascii="Times New Roman" w:hAnsi="Times New Roman" w:cs="Times New Roman"/>
          <w:sz w:val="24"/>
          <w:szCs w:val="24"/>
        </w:rPr>
        <w:t>fokuss ir jāparedz</w:t>
      </w:r>
      <w:r w:rsidR="00835FF8">
        <w:rPr>
          <w:rFonts w:ascii="Times New Roman" w:hAnsi="Times New Roman" w:cs="Times New Roman"/>
          <w:sz w:val="24"/>
          <w:szCs w:val="24"/>
        </w:rPr>
        <w:t xml:space="preserve"> </w:t>
      </w:r>
      <w:r w:rsidRPr="006913F3">
        <w:rPr>
          <w:rFonts w:ascii="Times New Roman" w:hAnsi="Times New Roman" w:cs="Times New Roman"/>
          <w:sz w:val="24"/>
          <w:szCs w:val="24"/>
        </w:rPr>
        <w:t xml:space="preserve">– </w:t>
      </w:r>
      <w:r w:rsidRPr="006913F3">
        <w:rPr>
          <w:rFonts w:ascii="Times New Roman" w:hAnsi="Times New Roman" w:cs="Times New Roman"/>
          <w:b/>
          <w:bCs/>
          <w:sz w:val="24"/>
          <w:szCs w:val="24"/>
        </w:rPr>
        <w:t>cilvēkkapitālā</w:t>
      </w:r>
      <w:r w:rsidR="00CC34F9" w:rsidRPr="006913F3">
        <w:rPr>
          <w:rFonts w:ascii="Times New Roman" w:hAnsi="Times New Roman" w:cs="Times New Roman"/>
          <w:b/>
          <w:bCs/>
          <w:sz w:val="24"/>
          <w:szCs w:val="24"/>
        </w:rPr>
        <w:t xml:space="preserve"> stiprināšanā</w:t>
      </w:r>
      <w:r w:rsidRPr="006913F3">
        <w:rPr>
          <w:rFonts w:ascii="Times New Roman" w:hAnsi="Times New Roman" w:cs="Times New Roman"/>
          <w:sz w:val="24"/>
          <w:szCs w:val="24"/>
        </w:rPr>
        <w:t xml:space="preserve"> </w:t>
      </w:r>
      <w:r w:rsidRPr="006913F3">
        <w:rPr>
          <w:rFonts w:ascii="Times New Roman" w:hAnsi="Times New Roman" w:cs="Times New Roman"/>
          <w:i/>
          <w:iCs/>
          <w:sz w:val="24"/>
          <w:szCs w:val="24"/>
        </w:rPr>
        <w:t>(</w:t>
      </w:r>
      <w:r w:rsidR="00CC34F9" w:rsidRPr="006913F3">
        <w:rPr>
          <w:rFonts w:ascii="Times New Roman" w:hAnsi="Times New Roman" w:cs="Times New Roman"/>
          <w:i/>
          <w:iCs/>
          <w:sz w:val="24"/>
          <w:szCs w:val="24"/>
        </w:rPr>
        <w:t>kas saskan ar Nacionālā attīstības plāna</w:t>
      </w:r>
      <w:r w:rsidRPr="006913F3">
        <w:rPr>
          <w:rFonts w:ascii="Times New Roman" w:hAnsi="Times New Roman" w:cs="Times New Roman"/>
          <w:i/>
          <w:iCs/>
          <w:sz w:val="24"/>
          <w:szCs w:val="24"/>
        </w:rPr>
        <w:t xml:space="preserve"> </w:t>
      </w:r>
      <w:r w:rsidR="00CC34F9" w:rsidRPr="006913F3">
        <w:rPr>
          <w:rFonts w:ascii="Times New Roman" w:hAnsi="Times New Roman" w:cs="Times New Roman"/>
          <w:i/>
          <w:iCs/>
          <w:sz w:val="24"/>
          <w:szCs w:val="24"/>
        </w:rPr>
        <w:t>2027.</w:t>
      </w:r>
      <w:r w:rsidR="00835FF8">
        <w:rPr>
          <w:rFonts w:ascii="Times New Roman" w:hAnsi="Times New Roman" w:cs="Times New Roman"/>
          <w:i/>
          <w:iCs/>
          <w:sz w:val="24"/>
          <w:szCs w:val="24"/>
        </w:rPr>
        <w:t xml:space="preserve"> </w:t>
      </w:r>
      <w:r w:rsidR="00CC34F9" w:rsidRPr="006913F3">
        <w:rPr>
          <w:rFonts w:ascii="Times New Roman" w:hAnsi="Times New Roman" w:cs="Times New Roman"/>
          <w:i/>
          <w:iCs/>
          <w:sz w:val="24"/>
          <w:szCs w:val="24"/>
        </w:rPr>
        <w:t>gadam</w:t>
      </w:r>
      <w:r w:rsidR="00CC34F9" w:rsidRPr="006913F3">
        <w:rPr>
          <w:rStyle w:val="FootnoteReference"/>
          <w:rFonts w:ascii="Times New Roman" w:hAnsi="Times New Roman" w:cs="Times New Roman"/>
          <w:i/>
          <w:iCs/>
          <w:sz w:val="24"/>
          <w:szCs w:val="24"/>
        </w:rPr>
        <w:footnoteReference w:id="7"/>
      </w:r>
      <w:r w:rsidR="009A7BD4">
        <w:rPr>
          <w:rFonts w:ascii="Times New Roman" w:hAnsi="Times New Roman" w:cs="Times New Roman"/>
          <w:i/>
          <w:iCs/>
          <w:sz w:val="24"/>
          <w:szCs w:val="24"/>
        </w:rPr>
        <w:t>(turpmāk – NAP)</w:t>
      </w:r>
      <w:r w:rsidR="00CC34F9" w:rsidRPr="006913F3">
        <w:rPr>
          <w:rFonts w:ascii="Times New Roman" w:hAnsi="Times New Roman" w:cs="Times New Roman"/>
          <w:i/>
          <w:iCs/>
          <w:sz w:val="24"/>
          <w:szCs w:val="24"/>
        </w:rPr>
        <w:t xml:space="preserve"> un Zinātnes, tehnoloģijas attīstības un inovācijas pamatnostādņu 2021.-2027.</w:t>
      </w:r>
      <w:r w:rsidR="00835FF8">
        <w:rPr>
          <w:rFonts w:ascii="Times New Roman" w:hAnsi="Times New Roman" w:cs="Times New Roman"/>
          <w:i/>
          <w:iCs/>
          <w:sz w:val="24"/>
          <w:szCs w:val="24"/>
        </w:rPr>
        <w:t xml:space="preserve"> </w:t>
      </w:r>
      <w:r w:rsidR="00CC34F9" w:rsidRPr="006913F3">
        <w:rPr>
          <w:rFonts w:ascii="Times New Roman" w:hAnsi="Times New Roman" w:cs="Times New Roman"/>
          <w:i/>
          <w:iCs/>
          <w:sz w:val="24"/>
          <w:szCs w:val="24"/>
        </w:rPr>
        <w:t>gadam</w:t>
      </w:r>
      <w:r w:rsidR="00CC34F9" w:rsidRPr="006913F3">
        <w:rPr>
          <w:rStyle w:val="FootnoteReference"/>
          <w:rFonts w:ascii="Times New Roman" w:hAnsi="Times New Roman" w:cs="Times New Roman"/>
          <w:i/>
          <w:iCs/>
          <w:sz w:val="24"/>
          <w:szCs w:val="24"/>
        </w:rPr>
        <w:footnoteReference w:id="8"/>
      </w:r>
      <w:r w:rsidR="00CC34F9" w:rsidRPr="006913F3">
        <w:rPr>
          <w:rFonts w:ascii="Times New Roman" w:hAnsi="Times New Roman" w:cs="Times New Roman"/>
          <w:i/>
          <w:iCs/>
          <w:sz w:val="24"/>
          <w:szCs w:val="24"/>
        </w:rPr>
        <w:t xml:space="preserve"> </w:t>
      </w:r>
      <w:r w:rsidR="007B1389" w:rsidRPr="006913F3">
        <w:rPr>
          <w:rFonts w:ascii="Times New Roman" w:hAnsi="Times New Roman" w:cs="Times New Roman"/>
          <w:i/>
          <w:iCs/>
          <w:sz w:val="24"/>
          <w:szCs w:val="24"/>
        </w:rPr>
        <w:t xml:space="preserve">(turpmāk – ZTAIP) </w:t>
      </w:r>
      <w:r w:rsidR="00CC34F9" w:rsidRPr="006913F3">
        <w:rPr>
          <w:rFonts w:ascii="Times New Roman" w:hAnsi="Times New Roman" w:cs="Times New Roman"/>
          <w:i/>
          <w:iCs/>
          <w:sz w:val="24"/>
          <w:szCs w:val="24"/>
        </w:rPr>
        <w:t>mērķiem</w:t>
      </w:r>
      <w:r w:rsidRPr="006913F3">
        <w:rPr>
          <w:rFonts w:ascii="Times New Roman" w:hAnsi="Times New Roman" w:cs="Times New Roman"/>
          <w:i/>
          <w:iCs/>
          <w:sz w:val="24"/>
          <w:szCs w:val="24"/>
        </w:rPr>
        <w:t>)</w:t>
      </w:r>
      <w:r w:rsidR="00CC34F9" w:rsidRPr="006913F3">
        <w:rPr>
          <w:rFonts w:ascii="Times New Roman" w:hAnsi="Times New Roman" w:cs="Times New Roman"/>
          <w:i/>
          <w:iCs/>
          <w:sz w:val="24"/>
          <w:szCs w:val="24"/>
        </w:rPr>
        <w:t>.</w:t>
      </w:r>
    </w:p>
    <w:p w14:paraId="26BDFDED" w14:textId="53E774CC"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4. </w:t>
      </w:r>
      <w:r w:rsidR="00CC34F9" w:rsidRPr="006913F3">
        <w:rPr>
          <w:rFonts w:ascii="Times New Roman" w:hAnsi="Times New Roman" w:cs="Times New Roman"/>
          <w:sz w:val="24"/>
          <w:szCs w:val="24"/>
        </w:rPr>
        <w:t>P&amp;A cilvēkkapitāl</w:t>
      </w:r>
      <w:r w:rsidR="003D1BB5">
        <w:rPr>
          <w:rFonts w:ascii="Times New Roman" w:hAnsi="Times New Roman" w:cs="Times New Roman"/>
          <w:sz w:val="24"/>
          <w:szCs w:val="24"/>
        </w:rPr>
        <w:t>a konstekstā</w:t>
      </w:r>
      <w:r w:rsidR="00CC34F9" w:rsidRPr="006913F3">
        <w:rPr>
          <w:rFonts w:ascii="Times New Roman" w:hAnsi="Times New Roman" w:cs="Times New Roman"/>
          <w:sz w:val="24"/>
          <w:szCs w:val="24"/>
        </w:rPr>
        <w:t xml:space="preserve"> starptautiskā </w:t>
      </w:r>
      <w:r w:rsidR="003B6A49">
        <w:rPr>
          <w:rFonts w:ascii="Times New Roman" w:hAnsi="Times New Roman" w:cs="Times New Roman"/>
          <w:sz w:val="24"/>
          <w:szCs w:val="24"/>
        </w:rPr>
        <w:t>novērtējuma</w:t>
      </w:r>
      <w:r w:rsidRPr="006913F3">
        <w:rPr>
          <w:rFonts w:ascii="Times New Roman" w:hAnsi="Times New Roman" w:cs="Times New Roman"/>
          <w:sz w:val="24"/>
          <w:szCs w:val="24"/>
        </w:rPr>
        <w:t xml:space="preserve"> </w:t>
      </w:r>
      <w:r w:rsidR="00CC34F9" w:rsidRPr="006913F3">
        <w:rPr>
          <w:rFonts w:ascii="Times New Roman" w:hAnsi="Times New Roman" w:cs="Times New Roman"/>
          <w:sz w:val="24"/>
          <w:szCs w:val="24"/>
        </w:rPr>
        <w:t xml:space="preserve">rekomendācijās īpašs uzsvars ir tieši uz </w:t>
      </w:r>
      <w:r w:rsidRPr="006913F3">
        <w:rPr>
          <w:rFonts w:ascii="Times New Roman" w:hAnsi="Times New Roman" w:cs="Times New Roman"/>
          <w:sz w:val="24"/>
          <w:szCs w:val="24"/>
        </w:rPr>
        <w:t>pēcdoktorantūru</w:t>
      </w:r>
      <w:r w:rsidR="009F7B7A" w:rsidRPr="006913F3">
        <w:rPr>
          <w:rFonts w:ascii="Times New Roman" w:hAnsi="Times New Roman" w:cs="Times New Roman"/>
          <w:sz w:val="24"/>
          <w:szCs w:val="24"/>
        </w:rPr>
        <w:t>,</w:t>
      </w:r>
      <w:r w:rsidRPr="006913F3">
        <w:rPr>
          <w:rFonts w:ascii="Times New Roman" w:hAnsi="Times New Roman" w:cs="Times New Roman"/>
          <w:sz w:val="24"/>
          <w:szCs w:val="24"/>
        </w:rPr>
        <w:t xml:space="preserve"> </w:t>
      </w:r>
      <w:r w:rsidR="00CC34F9" w:rsidRPr="006913F3">
        <w:rPr>
          <w:rFonts w:ascii="Times New Roman" w:hAnsi="Times New Roman" w:cs="Times New Roman"/>
          <w:sz w:val="24"/>
          <w:szCs w:val="24"/>
        </w:rPr>
        <w:t>kā arī ilgtermiņā nodrošinātu</w:t>
      </w:r>
      <w:r w:rsidRPr="006913F3">
        <w:rPr>
          <w:rFonts w:ascii="Times New Roman" w:hAnsi="Times New Roman" w:cs="Times New Roman"/>
          <w:sz w:val="24"/>
          <w:szCs w:val="24"/>
        </w:rPr>
        <w:t xml:space="preserve"> iekšējo un ārējo </w:t>
      </w:r>
      <w:r w:rsidR="00CC34F9" w:rsidRPr="006913F3">
        <w:rPr>
          <w:rFonts w:ascii="Times New Roman" w:hAnsi="Times New Roman" w:cs="Times New Roman"/>
          <w:sz w:val="24"/>
          <w:szCs w:val="24"/>
        </w:rPr>
        <w:t xml:space="preserve">zinātniskā </w:t>
      </w:r>
      <w:r w:rsidRPr="006913F3">
        <w:rPr>
          <w:rFonts w:ascii="Times New Roman" w:hAnsi="Times New Roman" w:cs="Times New Roman"/>
          <w:sz w:val="24"/>
          <w:szCs w:val="24"/>
        </w:rPr>
        <w:t>personāla mobilitāti</w:t>
      </w:r>
      <w:r w:rsidR="00CC34F9" w:rsidRPr="006913F3">
        <w:rPr>
          <w:rFonts w:ascii="Times New Roman" w:hAnsi="Times New Roman" w:cs="Times New Roman"/>
          <w:sz w:val="24"/>
          <w:szCs w:val="24"/>
        </w:rPr>
        <w:t>.</w:t>
      </w:r>
    </w:p>
    <w:p w14:paraId="61C32A16" w14:textId="1B9B6024"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5. </w:t>
      </w:r>
      <w:r w:rsidR="003D1BB5" w:rsidRPr="006913F3">
        <w:rPr>
          <w:rFonts w:ascii="Times New Roman" w:hAnsi="Times New Roman" w:cs="Times New Roman"/>
          <w:sz w:val="24"/>
          <w:szCs w:val="24"/>
        </w:rPr>
        <w:t>Zinātniskajā</w:t>
      </w:r>
      <w:r w:rsidR="003D1BB5">
        <w:rPr>
          <w:rFonts w:ascii="Times New Roman" w:hAnsi="Times New Roman" w:cs="Times New Roman"/>
          <w:sz w:val="24"/>
          <w:szCs w:val="24"/>
        </w:rPr>
        <w:t>s</w:t>
      </w:r>
      <w:r w:rsidR="003D1BB5" w:rsidRPr="006913F3">
        <w:rPr>
          <w:rFonts w:ascii="Times New Roman" w:hAnsi="Times New Roman" w:cs="Times New Roman"/>
          <w:sz w:val="24"/>
          <w:szCs w:val="24"/>
        </w:rPr>
        <w:t xml:space="preserve"> publikācijā</w:t>
      </w:r>
      <w:r w:rsidR="003D1BB5">
        <w:rPr>
          <w:rFonts w:ascii="Times New Roman" w:hAnsi="Times New Roman" w:cs="Times New Roman"/>
          <w:sz w:val="24"/>
          <w:szCs w:val="24"/>
        </w:rPr>
        <w:t>s</w:t>
      </w:r>
      <w:r w:rsidR="003D1BB5" w:rsidRPr="006913F3">
        <w:rPr>
          <w:rFonts w:ascii="Times New Roman" w:hAnsi="Times New Roman" w:cs="Times New Roman"/>
          <w:sz w:val="24"/>
          <w:szCs w:val="24"/>
        </w:rPr>
        <w:t xml:space="preserve"> </w:t>
      </w:r>
      <w:r w:rsidR="00CC34F9" w:rsidRPr="006913F3">
        <w:rPr>
          <w:rFonts w:ascii="Times New Roman" w:hAnsi="Times New Roman" w:cs="Times New Roman"/>
          <w:b/>
          <w:bCs/>
          <w:sz w:val="24"/>
          <w:szCs w:val="24"/>
        </w:rPr>
        <w:t>jābūt</w:t>
      </w:r>
      <w:r w:rsidR="003D1BB5">
        <w:rPr>
          <w:rFonts w:ascii="Times New Roman" w:hAnsi="Times New Roman" w:cs="Times New Roman"/>
          <w:b/>
          <w:bCs/>
          <w:sz w:val="24"/>
          <w:szCs w:val="24"/>
        </w:rPr>
        <w:t xml:space="preserve"> uzsvaram</w:t>
      </w:r>
      <w:r w:rsidRPr="006913F3">
        <w:rPr>
          <w:rFonts w:ascii="Times New Roman" w:hAnsi="Times New Roman" w:cs="Times New Roman"/>
          <w:b/>
          <w:bCs/>
          <w:sz w:val="24"/>
          <w:szCs w:val="24"/>
        </w:rPr>
        <w:t xml:space="preserve"> uz to kvalitāti</w:t>
      </w:r>
      <w:r w:rsidRPr="006913F3">
        <w:rPr>
          <w:rFonts w:ascii="Times New Roman" w:hAnsi="Times New Roman" w:cs="Times New Roman"/>
          <w:sz w:val="24"/>
          <w:szCs w:val="24"/>
        </w:rPr>
        <w:t>, nevis kvantitāti, kura ir šobrīd noteicošā</w:t>
      </w:r>
      <w:r w:rsidR="00CC34F9" w:rsidRPr="006913F3">
        <w:rPr>
          <w:rFonts w:ascii="Times New Roman" w:hAnsi="Times New Roman" w:cs="Times New Roman"/>
          <w:sz w:val="24"/>
          <w:szCs w:val="24"/>
        </w:rPr>
        <w:t xml:space="preserve"> dažādos aprēķina rādītājos.</w:t>
      </w:r>
    </w:p>
    <w:p w14:paraId="173288A7" w14:textId="297A8B12" w:rsidR="00D57144" w:rsidRPr="006913F3" w:rsidRDefault="00CC34F9"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6. Lielāka nozīme ir </w:t>
      </w:r>
      <w:r w:rsidR="00D57144" w:rsidRPr="006913F3">
        <w:rPr>
          <w:rFonts w:ascii="Times New Roman" w:hAnsi="Times New Roman" w:cs="Times New Roman"/>
          <w:sz w:val="24"/>
          <w:szCs w:val="24"/>
        </w:rPr>
        <w:t xml:space="preserve">jāpievērš </w:t>
      </w:r>
      <w:r w:rsidR="00D57144" w:rsidRPr="006913F3">
        <w:rPr>
          <w:rFonts w:ascii="Times New Roman" w:hAnsi="Times New Roman" w:cs="Times New Roman"/>
          <w:b/>
          <w:bCs/>
          <w:sz w:val="24"/>
          <w:szCs w:val="24"/>
        </w:rPr>
        <w:t xml:space="preserve">iekšējās pārvaldības sakārtošanai un </w:t>
      </w:r>
      <w:r w:rsidRPr="006913F3">
        <w:rPr>
          <w:rFonts w:ascii="Times New Roman" w:hAnsi="Times New Roman" w:cs="Times New Roman"/>
          <w:b/>
          <w:bCs/>
          <w:sz w:val="24"/>
          <w:szCs w:val="24"/>
        </w:rPr>
        <w:t xml:space="preserve">zinātnisko institūciju sadarbības </w:t>
      </w:r>
      <w:r w:rsidR="00B251D4" w:rsidRPr="006913F3">
        <w:rPr>
          <w:rFonts w:ascii="Times New Roman" w:hAnsi="Times New Roman" w:cs="Times New Roman"/>
          <w:b/>
          <w:bCs/>
          <w:sz w:val="24"/>
          <w:szCs w:val="24"/>
        </w:rPr>
        <w:t>veicināšanai</w:t>
      </w:r>
      <w:r w:rsidRPr="006913F3">
        <w:rPr>
          <w:rFonts w:ascii="Times New Roman" w:hAnsi="Times New Roman" w:cs="Times New Roman"/>
          <w:b/>
          <w:bCs/>
          <w:sz w:val="24"/>
          <w:szCs w:val="24"/>
        </w:rPr>
        <w:t xml:space="preserve"> </w:t>
      </w:r>
      <w:r w:rsidR="00D57144" w:rsidRPr="006913F3">
        <w:rPr>
          <w:rFonts w:ascii="Times New Roman" w:hAnsi="Times New Roman" w:cs="Times New Roman"/>
          <w:b/>
          <w:bCs/>
          <w:sz w:val="24"/>
          <w:szCs w:val="24"/>
        </w:rPr>
        <w:t>ar industriju</w:t>
      </w:r>
      <w:r w:rsidRPr="006913F3">
        <w:rPr>
          <w:rFonts w:ascii="Times New Roman" w:hAnsi="Times New Roman" w:cs="Times New Roman"/>
          <w:b/>
          <w:bCs/>
          <w:sz w:val="24"/>
          <w:szCs w:val="24"/>
        </w:rPr>
        <w:t>.</w:t>
      </w:r>
    </w:p>
    <w:p w14:paraId="08B12F69" w14:textId="32C40F7C"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7. </w:t>
      </w:r>
      <w:r w:rsidR="00835FF8">
        <w:rPr>
          <w:rFonts w:ascii="Times New Roman" w:hAnsi="Times New Roman" w:cs="Times New Roman"/>
          <w:sz w:val="24"/>
          <w:szCs w:val="24"/>
        </w:rPr>
        <w:t>Starptautiskā no</w:t>
      </w:r>
      <w:r w:rsidR="00CC34F9" w:rsidRPr="006913F3">
        <w:rPr>
          <w:rFonts w:ascii="Times New Roman" w:hAnsi="Times New Roman" w:cs="Times New Roman"/>
          <w:sz w:val="24"/>
          <w:szCs w:val="24"/>
        </w:rPr>
        <w:t>vērtējuma</w:t>
      </w:r>
      <w:r w:rsidRPr="006913F3">
        <w:rPr>
          <w:rFonts w:ascii="Times New Roman" w:hAnsi="Times New Roman" w:cs="Times New Roman"/>
          <w:sz w:val="24"/>
          <w:szCs w:val="24"/>
        </w:rPr>
        <w:t xml:space="preserve"> rezultāts</w:t>
      </w:r>
      <w:r w:rsidR="00CC34F9" w:rsidRPr="006913F3">
        <w:rPr>
          <w:rFonts w:ascii="Times New Roman" w:hAnsi="Times New Roman" w:cs="Times New Roman"/>
          <w:sz w:val="24"/>
          <w:szCs w:val="24"/>
        </w:rPr>
        <w:t xml:space="preserve"> (</w:t>
      </w:r>
      <w:r w:rsidR="00B251D4" w:rsidRPr="006913F3">
        <w:rPr>
          <w:rFonts w:ascii="Times New Roman" w:hAnsi="Times New Roman" w:cs="Times New Roman"/>
          <w:sz w:val="24"/>
          <w:szCs w:val="24"/>
        </w:rPr>
        <w:t>vērtējums</w:t>
      </w:r>
      <w:r w:rsidR="00CC34F9" w:rsidRPr="006913F3">
        <w:rPr>
          <w:rFonts w:ascii="Times New Roman" w:hAnsi="Times New Roman" w:cs="Times New Roman"/>
          <w:sz w:val="24"/>
          <w:szCs w:val="24"/>
        </w:rPr>
        <w:t xml:space="preserve"> </w:t>
      </w:r>
      <w:r w:rsidR="009A7BD4">
        <w:rPr>
          <w:rFonts w:ascii="Times New Roman" w:hAnsi="Times New Roman" w:cs="Times New Roman"/>
          <w:sz w:val="24"/>
          <w:szCs w:val="24"/>
        </w:rPr>
        <w:t>punktos</w:t>
      </w:r>
      <w:r w:rsidR="00CC34F9" w:rsidRPr="006913F3">
        <w:rPr>
          <w:rFonts w:ascii="Times New Roman" w:hAnsi="Times New Roman" w:cs="Times New Roman"/>
          <w:sz w:val="24"/>
          <w:szCs w:val="24"/>
        </w:rPr>
        <w:t>)</w:t>
      </w:r>
      <w:r w:rsidRPr="006913F3">
        <w:rPr>
          <w:rFonts w:ascii="Times New Roman" w:hAnsi="Times New Roman" w:cs="Times New Roman"/>
          <w:sz w:val="24"/>
          <w:szCs w:val="24"/>
        </w:rPr>
        <w:t xml:space="preserve"> ir jāskata kompleksi kopā ar </w:t>
      </w:r>
      <w:r w:rsidR="00835FF8">
        <w:rPr>
          <w:rFonts w:ascii="Times New Roman" w:hAnsi="Times New Roman" w:cs="Times New Roman"/>
          <w:sz w:val="24"/>
          <w:szCs w:val="24"/>
        </w:rPr>
        <w:t>no</w:t>
      </w:r>
      <w:r w:rsidR="00CC34F9" w:rsidRPr="006913F3">
        <w:rPr>
          <w:rFonts w:ascii="Times New Roman" w:hAnsi="Times New Roman" w:cs="Times New Roman"/>
          <w:sz w:val="24"/>
          <w:szCs w:val="24"/>
        </w:rPr>
        <w:t xml:space="preserve">vērtējumā institūcijām </w:t>
      </w:r>
      <w:r w:rsidRPr="006913F3">
        <w:rPr>
          <w:rFonts w:ascii="Times New Roman" w:hAnsi="Times New Roman" w:cs="Times New Roman"/>
          <w:sz w:val="24"/>
          <w:szCs w:val="24"/>
        </w:rPr>
        <w:t xml:space="preserve">sniegtajām rekomendācijām un nacionālajām </w:t>
      </w:r>
      <w:r w:rsidR="00CC34F9" w:rsidRPr="006913F3">
        <w:rPr>
          <w:rFonts w:ascii="Times New Roman" w:hAnsi="Times New Roman" w:cs="Times New Roman"/>
          <w:sz w:val="24"/>
          <w:szCs w:val="24"/>
        </w:rPr>
        <w:t xml:space="preserve">P&amp;A </w:t>
      </w:r>
      <w:r w:rsidRPr="006913F3">
        <w:rPr>
          <w:rFonts w:ascii="Times New Roman" w:hAnsi="Times New Roman" w:cs="Times New Roman"/>
          <w:sz w:val="24"/>
          <w:szCs w:val="24"/>
        </w:rPr>
        <w:t>prioritātēm</w:t>
      </w:r>
      <w:r w:rsidR="00CC34F9" w:rsidRPr="006913F3">
        <w:rPr>
          <w:rFonts w:ascii="Times New Roman" w:hAnsi="Times New Roman" w:cs="Times New Roman"/>
          <w:sz w:val="24"/>
          <w:szCs w:val="24"/>
        </w:rPr>
        <w:t>.</w:t>
      </w:r>
    </w:p>
    <w:p w14:paraId="68D60968" w14:textId="2692C9B0" w:rsidR="00D57144" w:rsidRPr="006913F3" w:rsidRDefault="00D57144"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8. Latvijas zinātnes sistēmā ir </w:t>
      </w:r>
      <w:r w:rsidR="00B251D4" w:rsidRPr="006913F3">
        <w:rPr>
          <w:rFonts w:ascii="Times New Roman" w:hAnsi="Times New Roman" w:cs="Times New Roman"/>
          <w:sz w:val="24"/>
          <w:szCs w:val="24"/>
        </w:rPr>
        <w:t>konstatēti</w:t>
      </w:r>
      <w:r w:rsidRPr="006913F3">
        <w:rPr>
          <w:rFonts w:ascii="Times New Roman" w:hAnsi="Times New Roman" w:cs="Times New Roman"/>
          <w:sz w:val="24"/>
          <w:szCs w:val="24"/>
        </w:rPr>
        <w:t xml:space="preserve"> </w:t>
      </w:r>
      <w:r w:rsidR="007B1389" w:rsidRPr="006913F3">
        <w:rPr>
          <w:rFonts w:ascii="Times New Roman" w:hAnsi="Times New Roman" w:cs="Times New Roman"/>
          <w:sz w:val="24"/>
          <w:szCs w:val="24"/>
        </w:rPr>
        <w:t>nozīmīgi</w:t>
      </w:r>
      <w:r w:rsidRPr="006913F3">
        <w:rPr>
          <w:rFonts w:ascii="Times New Roman" w:hAnsi="Times New Roman" w:cs="Times New Roman"/>
          <w:sz w:val="24"/>
          <w:szCs w:val="24"/>
        </w:rPr>
        <w:t xml:space="preserve"> uzlabojumi</w:t>
      </w:r>
      <w:r w:rsidR="007B1389" w:rsidRPr="006913F3">
        <w:rPr>
          <w:rFonts w:ascii="Times New Roman" w:hAnsi="Times New Roman" w:cs="Times New Roman"/>
          <w:sz w:val="24"/>
          <w:szCs w:val="24"/>
        </w:rPr>
        <w:t>, t.sk. institucionālās</w:t>
      </w:r>
      <w:r w:rsidRPr="006913F3">
        <w:rPr>
          <w:rFonts w:ascii="Times New Roman" w:hAnsi="Times New Roman" w:cs="Times New Roman"/>
          <w:sz w:val="24"/>
          <w:szCs w:val="24"/>
        </w:rPr>
        <w:t xml:space="preserve"> fragmentācijas mazināšanā, bet </w:t>
      </w:r>
      <w:r w:rsidR="007B1389" w:rsidRPr="006913F3">
        <w:rPr>
          <w:rFonts w:ascii="Times New Roman" w:hAnsi="Times New Roman" w:cs="Times New Roman"/>
          <w:sz w:val="24"/>
          <w:szCs w:val="24"/>
        </w:rPr>
        <w:t>zināma fragmentācija</w:t>
      </w:r>
      <w:r w:rsidRPr="006913F3">
        <w:rPr>
          <w:rFonts w:ascii="Times New Roman" w:hAnsi="Times New Roman" w:cs="Times New Roman"/>
          <w:sz w:val="24"/>
          <w:szCs w:val="24"/>
        </w:rPr>
        <w:t xml:space="preserve"> joprojām ir </w:t>
      </w:r>
      <w:r w:rsidR="009A7BD4">
        <w:rPr>
          <w:rFonts w:ascii="Times New Roman" w:hAnsi="Times New Roman" w:cs="Times New Roman"/>
          <w:sz w:val="24"/>
          <w:szCs w:val="24"/>
        </w:rPr>
        <w:t>saglabājusies</w:t>
      </w:r>
      <w:r w:rsidRPr="006913F3">
        <w:rPr>
          <w:rFonts w:ascii="Times New Roman" w:hAnsi="Times New Roman" w:cs="Times New Roman"/>
          <w:sz w:val="24"/>
          <w:szCs w:val="24"/>
        </w:rPr>
        <w:t>, īpaši sociālajās zinātnēs.</w:t>
      </w:r>
    </w:p>
    <w:p w14:paraId="194AABC9" w14:textId="77777777" w:rsidR="00D57144" w:rsidRPr="006913F3" w:rsidRDefault="00D57144" w:rsidP="00A04C15">
      <w:pPr>
        <w:spacing w:after="0" w:line="240" w:lineRule="auto"/>
        <w:rPr>
          <w:rFonts w:ascii="Times New Roman" w:hAnsi="Times New Roman" w:cs="Times New Roman"/>
          <w:sz w:val="24"/>
          <w:szCs w:val="24"/>
        </w:rPr>
      </w:pPr>
    </w:p>
    <w:p w14:paraId="5CEF3756" w14:textId="1937E3A3" w:rsidR="005C26B2" w:rsidRDefault="00104388" w:rsidP="00A04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35FF8">
        <w:rPr>
          <w:rFonts w:ascii="Times New Roman" w:hAnsi="Times New Roman" w:cs="Times New Roman"/>
          <w:b/>
          <w:sz w:val="24"/>
          <w:szCs w:val="24"/>
        </w:rPr>
        <w:t xml:space="preserve">. </w:t>
      </w:r>
      <w:r w:rsidR="005C26B2" w:rsidRPr="006913F3">
        <w:rPr>
          <w:rFonts w:ascii="Times New Roman" w:hAnsi="Times New Roman" w:cs="Times New Roman"/>
          <w:b/>
          <w:sz w:val="24"/>
          <w:szCs w:val="24"/>
        </w:rPr>
        <w:t xml:space="preserve">Zinātnes </w:t>
      </w:r>
      <w:r w:rsidR="00D57144" w:rsidRPr="006913F3">
        <w:rPr>
          <w:rFonts w:ascii="Times New Roman" w:hAnsi="Times New Roman" w:cs="Times New Roman"/>
          <w:b/>
          <w:sz w:val="24"/>
          <w:szCs w:val="24"/>
        </w:rPr>
        <w:t>finansējuma situācija</w:t>
      </w:r>
      <w:r w:rsidR="005C26B2" w:rsidRPr="006913F3">
        <w:rPr>
          <w:rFonts w:ascii="Times New Roman" w:hAnsi="Times New Roman" w:cs="Times New Roman"/>
          <w:b/>
          <w:sz w:val="24"/>
          <w:szCs w:val="24"/>
        </w:rPr>
        <w:t xml:space="preserve"> Latvijā</w:t>
      </w:r>
    </w:p>
    <w:p w14:paraId="55E63D3E" w14:textId="77777777" w:rsidR="002C75A3" w:rsidRPr="006913F3" w:rsidRDefault="002C75A3" w:rsidP="00A04C15">
      <w:pPr>
        <w:spacing w:after="0" w:line="240" w:lineRule="auto"/>
        <w:jc w:val="center"/>
        <w:rPr>
          <w:rFonts w:ascii="Times New Roman" w:hAnsi="Times New Roman" w:cs="Times New Roman"/>
          <w:sz w:val="24"/>
          <w:szCs w:val="24"/>
        </w:rPr>
      </w:pPr>
    </w:p>
    <w:p w14:paraId="35BDD2DF" w14:textId="68501CE8" w:rsidR="005C26B2" w:rsidRPr="006913F3" w:rsidRDefault="00C72F0C" w:rsidP="00A04C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P&amp;A</w:t>
      </w:r>
      <w:r w:rsidR="005C26B2" w:rsidRPr="006913F3">
        <w:rPr>
          <w:rFonts w:ascii="Times New Roman" w:hAnsi="Times New Roman" w:cs="Times New Roman"/>
          <w:sz w:val="24"/>
          <w:szCs w:val="24"/>
        </w:rPr>
        <w:t xml:space="preserve"> sistēmas attīstībai ministrija nodrošina gan valsts budžeta līdzekļu pieejamību, gan arī piesaista finansējumu no Eiropas Savienības struktūrfondiem, kā arī nodrošina atbalstu finansējuma piesaistei no starptautiskajiem finanšu instrumentiem un pētniecības programmām.</w:t>
      </w:r>
    </w:p>
    <w:p w14:paraId="54D88BB4" w14:textId="00DDAC51" w:rsidR="00734E4B" w:rsidRPr="006913F3" w:rsidRDefault="00734E4B"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2020.</w:t>
      </w:r>
      <w:r w:rsidR="00835FF8">
        <w:rPr>
          <w:rFonts w:ascii="Times New Roman" w:hAnsi="Times New Roman" w:cs="Times New Roman"/>
          <w:sz w:val="24"/>
          <w:szCs w:val="24"/>
        </w:rPr>
        <w:t xml:space="preserve"> </w:t>
      </w:r>
      <w:r w:rsidRPr="00A04C15">
        <w:rPr>
          <w:rFonts w:ascii="Times New Roman" w:hAnsi="Times New Roman" w:cs="Times New Roman"/>
          <w:sz w:val="24"/>
          <w:szCs w:val="24"/>
        </w:rPr>
        <w:t>gada 13.</w:t>
      </w:r>
      <w:r w:rsidR="00835FF8" w:rsidRPr="00A04C15">
        <w:rPr>
          <w:rFonts w:ascii="Times New Roman" w:hAnsi="Times New Roman" w:cs="Times New Roman"/>
          <w:sz w:val="24"/>
          <w:szCs w:val="24"/>
        </w:rPr>
        <w:t xml:space="preserve"> </w:t>
      </w:r>
      <w:r w:rsidRPr="00A04C15">
        <w:rPr>
          <w:rFonts w:ascii="Times New Roman" w:hAnsi="Times New Roman" w:cs="Times New Roman"/>
          <w:sz w:val="24"/>
          <w:szCs w:val="24"/>
        </w:rPr>
        <w:t xml:space="preserve">aprīlī apstiprinātajās </w:t>
      </w:r>
      <w:r w:rsidR="007B1389" w:rsidRPr="00A04C15">
        <w:rPr>
          <w:rFonts w:ascii="Times New Roman" w:hAnsi="Times New Roman" w:cs="Times New Roman"/>
          <w:sz w:val="24"/>
          <w:szCs w:val="24"/>
        </w:rPr>
        <w:t>ZTAIP</w:t>
      </w:r>
      <w:r w:rsidR="00DE4FD8" w:rsidRPr="00A04C15">
        <w:rPr>
          <w:rFonts w:ascii="Times New Roman" w:hAnsi="Times New Roman" w:cs="Times New Roman"/>
          <w:sz w:val="24"/>
          <w:szCs w:val="24"/>
        </w:rPr>
        <w:t xml:space="preserve"> </w:t>
      </w:r>
      <w:r w:rsidRPr="00A04C15">
        <w:rPr>
          <w:rFonts w:ascii="Times New Roman" w:hAnsi="Times New Roman" w:cs="Times New Roman"/>
          <w:sz w:val="24"/>
          <w:szCs w:val="24"/>
        </w:rPr>
        <w:t>ir noteikts, ka finansējuma īpatsvars P&amp;A % no 2027.</w:t>
      </w:r>
      <w:r w:rsidR="00835FF8" w:rsidRPr="00A04C15">
        <w:rPr>
          <w:rFonts w:ascii="Times New Roman" w:hAnsi="Times New Roman" w:cs="Times New Roman"/>
          <w:sz w:val="24"/>
          <w:szCs w:val="24"/>
        </w:rPr>
        <w:t xml:space="preserve"> </w:t>
      </w:r>
      <w:r w:rsidRPr="00A04C15">
        <w:rPr>
          <w:rFonts w:ascii="Times New Roman" w:hAnsi="Times New Roman" w:cs="Times New Roman"/>
          <w:sz w:val="24"/>
          <w:szCs w:val="24"/>
        </w:rPr>
        <w:t xml:space="preserve">gadā ir </w:t>
      </w:r>
      <w:r w:rsidR="00B251D4" w:rsidRPr="00A04C15">
        <w:rPr>
          <w:rFonts w:ascii="Times New Roman" w:hAnsi="Times New Roman" w:cs="Times New Roman"/>
          <w:sz w:val="24"/>
          <w:szCs w:val="24"/>
        </w:rPr>
        <w:t>jāsasniedz 1</w:t>
      </w:r>
      <w:r w:rsidR="009A7BD4" w:rsidRPr="00A04C15">
        <w:rPr>
          <w:rFonts w:ascii="Times New Roman" w:hAnsi="Times New Roman" w:cs="Times New Roman"/>
          <w:sz w:val="24"/>
          <w:szCs w:val="24"/>
        </w:rPr>
        <w:t>,</w:t>
      </w:r>
      <w:r w:rsidR="00B251D4" w:rsidRPr="00A04C15">
        <w:rPr>
          <w:rFonts w:ascii="Times New Roman" w:hAnsi="Times New Roman" w:cs="Times New Roman"/>
          <w:sz w:val="24"/>
          <w:szCs w:val="24"/>
        </w:rPr>
        <w:t>5 % apmērā no iekšz</w:t>
      </w:r>
      <w:r w:rsidRPr="00A04C15">
        <w:rPr>
          <w:rFonts w:ascii="Times New Roman" w:hAnsi="Times New Roman" w:cs="Times New Roman"/>
          <w:sz w:val="24"/>
          <w:szCs w:val="24"/>
        </w:rPr>
        <w:t>emes kopprodukta (turpmāk – IKP), kā arī atsevišķi ir izcelts rādītājs valst</w:t>
      </w:r>
      <w:r w:rsidR="009F7B7A" w:rsidRPr="00A04C15">
        <w:rPr>
          <w:rFonts w:ascii="Times New Roman" w:hAnsi="Times New Roman" w:cs="Times New Roman"/>
          <w:sz w:val="24"/>
          <w:szCs w:val="24"/>
        </w:rPr>
        <w:t>s budžeta finansējumam P&amp;A, kuram</w:t>
      </w:r>
      <w:r w:rsidRPr="00A04C15">
        <w:rPr>
          <w:rFonts w:ascii="Times New Roman" w:hAnsi="Times New Roman" w:cs="Times New Roman"/>
          <w:sz w:val="24"/>
          <w:szCs w:val="24"/>
        </w:rPr>
        <w:t xml:space="preserve"> 2027.</w:t>
      </w:r>
      <w:r w:rsidR="00835FF8" w:rsidRPr="00A04C15">
        <w:rPr>
          <w:rFonts w:ascii="Times New Roman" w:hAnsi="Times New Roman" w:cs="Times New Roman"/>
          <w:sz w:val="24"/>
          <w:szCs w:val="24"/>
        </w:rPr>
        <w:t xml:space="preserve"> </w:t>
      </w:r>
      <w:r w:rsidRPr="00A04C15">
        <w:rPr>
          <w:rFonts w:ascii="Times New Roman" w:hAnsi="Times New Roman" w:cs="Times New Roman"/>
          <w:sz w:val="24"/>
          <w:szCs w:val="24"/>
        </w:rPr>
        <w:t>gadā ir jāsasniedz 0</w:t>
      </w:r>
      <w:r w:rsidR="009A7BD4" w:rsidRPr="00A04C15">
        <w:rPr>
          <w:rFonts w:ascii="Times New Roman" w:hAnsi="Times New Roman" w:cs="Times New Roman"/>
          <w:sz w:val="24"/>
          <w:szCs w:val="24"/>
        </w:rPr>
        <w:t>,</w:t>
      </w:r>
      <w:r w:rsidRPr="00A04C15">
        <w:rPr>
          <w:rFonts w:ascii="Times New Roman" w:hAnsi="Times New Roman" w:cs="Times New Roman"/>
          <w:sz w:val="24"/>
          <w:szCs w:val="24"/>
        </w:rPr>
        <w:t>4 % apmēr</w:t>
      </w:r>
      <w:r w:rsidR="009F7B7A" w:rsidRPr="00A04C15">
        <w:rPr>
          <w:rFonts w:ascii="Times New Roman" w:hAnsi="Times New Roman" w:cs="Times New Roman"/>
          <w:sz w:val="24"/>
          <w:szCs w:val="24"/>
        </w:rPr>
        <w:t>s</w:t>
      </w:r>
      <w:r w:rsidRPr="00A04C15">
        <w:rPr>
          <w:rFonts w:ascii="Times New Roman" w:hAnsi="Times New Roman" w:cs="Times New Roman"/>
          <w:sz w:val="24"/>
          <w:szCs w:val="24"/>
        </w:rPr>
        <w:t xml:space="preserve"> no IKP. Šobrīd (2019.</w:t>
      </w:r>
      <w:r w:rsidR="00835FF8" w:rsidRPr="00A04C15">
        <w:rPr>
          <w:rFonts w:ascii="Times New Roman" w:hAnsi="Times New Roman" w:cs="Times New Roman"/>
          <w:sz w:val="24"/>
          <w:szCs w:val="24"/>
        </w:rPr>
        <w:t xml:space="preserve"> </w:t>
      </w:r>
      <w:r w:rsidRPr="00A04C15">
        <w:rPr>
          <w:rFonts w:ascii="Times New Roman" w:hAnsi="Times New Roman" w:cs="Times New Roman"/>
          <w:sz w:val="24"/>
          <w:szCs w:val="24"/>
        </w:rPr>
        <w:t>gada dati</w:t>
      </w:r>
      <w:r w:rsidRPr="00A04C15">
        <w:rPr>
          <w:rStyle w:val="FootnoteReference"/>
          <w:rFonts w:ascii="Times New Roman" w:hAnsi="Times New Roman" w:cs="Times New Roman"/>
          <w:sz w:val="24"/>
          <w:szCs w:val="24"/>
        </w:rPr>
        <w:footnoteReference w:id="9"/>
      </w:r>
      <w:r w:rsidRPr="00A04C15">
        <w:rPr>
          <w:rFonts w:ascii="Times New Roman" w:hAnsi="Times New Roman" w:cs="Times New Roman"/>
          <w:sz w:val="24"/>
          <w:szCs w:val="24"/>
        </w:rPr>
        <w:t>) finansējuma īpatsvars P&amp;A veido 0</w:t>
      </w:r>
      <w:r w:rsidR="009A7BD4" w:rsidRPr="00A04C15">
        <w:rPr>
          <w:rFonts w:ascii="Times New Roman" w:hAnsi="Times New Roman" w:cs="Times New Roman"/>
          <w:sz w:val="24"/>
          <w:szCs w:val="24"/>
        </w:rPr>
        <w:t>,</w:t>
      </w:r>
      <w:r w:rsidRPr="00A04C15">
        <w:rPr>
          <w:rFonts w:ascii="Times New Roman" w:hAnsi="Times New Roman" w:cs="Times New Roman"/>
          <w:sz w:val="24"/>
          <w:szCs w:val="24"/>
        </w:rPr>
        <w:t>64 % no IKP un valsts budžeta finansējums P&amp;A veido 0</w:t>
      </w:r>
      <w:r w:rsidR="009A7BD4" w:rsidRPr="00A04C15">
        <w:rPr>
          <w:rFonts w:ascii="Times New Roman" w:hAnsi="Times New Roman" w:cs="Times New Roman"/>
          <w:sz w:val="24"/>
          <w:szCs w:val="24"/>
        </w:rPr>
        <w:t>,</w:t>
      </w:r>
      <w:r w:rsidRPr="00A04C15">
        <w:rPr>
          <w:rFonts w:ascii="Times New Roman" w:hAnsi="Times New Roman" w:cs="Times New Roman"/>
          <w:sz w:val="24"/>
          <w:szCs w:val="24"/>
        </w:rPr>
        <w:t>23 % no IKP. Abos</w:t>
      </w:r>
      <w:r w:rsidRPr="006913F3">
        <w:rPr>
          <w:rFonts w:ascii="Times New Roman" w:hAnsi="Times New Roman" w:cs="Times New Roman"/>
          <w:sz w:val="24"/>
          <w:szCs w:val="24"/>
        </w:rPr>
        <w:t xml:space="preserve"> šajos rādītājos Latvijas rezultāti </w:t>
      </w:r>
      <w:r w:rsidR="005A6A0D" w:rsidRPr="006913F3">
        <w:rPr>
          <w:rFonts w:ascii="Times New Roman" w:hAnsi="Times New Roman" w:cs="Times New Roman"/>
          <w:sz w:val="24"/>
          <w:szCs w:val="24"/>
        </w:rPr>
        <w:t>šobrīd</w:t>
      </w:r>
      <w:r w:rsidRPr="006913F3">
        <w:rPr>
          <w:rFonts w:ascii="Times New Roman" w:hAnsi="Times New Roman" w:cs="Times New Roman"/>
          <w:sz w:val="24"/>
          <w:szCs w:val="24"/>
        </w:rPr>
        <w:t xml:space="preserve"> </w:t>
      </w:r>
      <w:r w:rsidR="001C27A3" w:rsidRPr="006913F3">
        <w:rPr>
          <w:rFonts w:ascii="Times New Roman" w:hAnsi="Times New Roman" w:cs="Times New Roman"/>
          <w:sz w:val="24"/>
          <w:szCs w:val="24"/>
        </w:rPr>
        <w:t xml:space="preserve">ir </w:t>
      </w:r>
      <w:r w:rsidRPr="006913F3">
        <w:rPr>
          <w:rFonts w:ascii="Times New Roman" w:hAnsi="Times New Roman" w:cs="Times New Roman"/>
          <w:sz w:val="24"/>
          <w:szCs w:val="24"/>
        </w:rPr>
        <w:t>tālu no 2027.</w:t>
      </w:r>
      <w:r w:rsidR="00835FF8">
        <w:rPr>
          <w:rFonts w:ascii="Times New Roman" w:hAnsi="Times New Roman" w:cs="Times New Roman"/>
          <w:sz w:val="24"/>
          <w:szCs w:val="24"/>
        </w:rPr>
        <w:t xml:space="preserve"> </w:t>
      </w:r>
      <w:r w:rsidRPr="006913F3">
        <w:rPr>
          <w:rFonts w:ascii="Times New Roman" w:hAnsi="Times New Roman" w:cs="Times New Roman"/>
          <w:sz w:val="24"/>
          <w:szCs w:val="24"/>
        </w:rPr>
        <w:t>gada mērķa</w:t>
      </w:r>
      <w:r w:rsidR="001C27A3" w:rsidRPr="006913F3">
        <w:rPr>
          <w:rFonts w:ascii="Times New Roman" w:hAnsi="Times New Roman" w:cs="Times New Roman"/>
          <w:sz w:val="24"/>
          <w:szCs w:val="24"/>
        </w:rPr>
        <w:t>, un</w:t>
      </w:r>
      <w:r w:rsidRPr="006913F3">
        <w:rPr>
          <w:rFonts w:ascii="Times New Roman" w:hAnsi="Times New Roman" w:cs="Times New Roman"/>
          <w:sz w:val="24"/>
          <w:szCs w:val="24"/>
        </w:rPr>
        <w:t xml:space="preserve"> tie ir </w:t>
      </w:r>
      <w:r w:rsidR="005A6A0D" w:rsidRPr="006913F3">
        <w:rPr>
          <w:rFonts w:ascii="Times New Roman" w:hAnsi="Times New Roman" w:cs="Times New Roman"/>
          <w:sz w:val="24"/>
          <w:szCs w:val="24"/>
        </w:rPr>
        <w:t xml:space="preserve">arī būtiski mazāki par vidējo līmeni Eiropas </w:t>
      </w:r>
      <w:r w:rsidR="009A7BD4">
        <w:rPr>
          <w:rFonts w:ascii="Times New Roman" w:hAnsi="Times New Roman" w:cs="Times New Roman"/>
          <w:sz w:val="24"/>
          <w:szCs w:val="24"/>
        </w:rPr>
        <w:t>S</w:t>
      </w:r>
      <w:r w:rsidR="009A7BD4" w:rsidRPr="006913F3">
        <w:rPr>
          <w:rFonts w:ascii="Times New Roman" w:hAnsi="Times New Roman" w:cs="Times New Roman"/>
          <w:sz w:val="24"/>
          <w:szCs w:val="24"/>
        </w:rPr>
        <w:t>avienībā</w:t>
      </w:r>
      <w:r w:rsidR="009A7BD4">
        <w:rPr>
          <w:rFonts w:ascii="Times New Roman" w:hAnsi="Times New Roman" w:cs="Times New Roman"/>
          <w:sz w:val="24"/>
          <w:szCs w:val="24"/>
        </w:rPr>
        <w:t xml:space="preserve"> (turpmāk – ES)</w:t>
      </w:r>
      <w:r w:rsidR="005A6A0D" w:rsidRPr="006913F3">
        <w:rPr>
          <w:rFonts w:ascii="Times New Roman" w:hAnsi="Times New Roman" w:cs="Times New Roman"/>
          <w:sz w:val="24"/>
          <w:szCs w:val="24"/>
        </w:rPr>
        <w:t>.</w:t>
      </w:r>
    </w:p>
    <w:p w14:paraId="2BAAE5AF" w14:textId="485C482F" w:rsidR="005A6A0D" w:rsidRPr="006913F3" w:rsidRDefault="005A6A0D" w:rsidP="00AD525C">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lastRenderedPageBreak/>
        <w:drawing>
          <wp:inline distT="0" distB="0" distL="0" distR="0" wp14:anchorId="174A147C" wp14:editId="0E1ED75D">
            <wp:extent cx="4335780" cy="3901440"/>
            <wp:effectExtent l="0" t="0" r="762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F44C7A" w14:textId="4AFBD0DF" w:rsidR="00DE4FD8" w:rsidRPr="006913F3" w:rsidRDefault="00DE4FD8" w:rsidP="00AD525C">
      <w:pPr>
        <w:jc w:val="both"/>
        <w:rPr>
          <w:rFonts w:ascii="Times New Roman" w:hAnsi="Times New Roman" w:cs="Times New Roman"/>
          <w:sz w:val="24"/>
          <w:szCs w:val="24"/>
        </w:rPr>
      </w:pPr>
      <w:r w:rsidRPr="00755FAE">
        <w:rPr>
          <w:rFonts w:ascii="Times New Roman" w:hAnsi="Times New Roman" w:cs="Times New Roman"/>
          <w:b/>
          <w:sz w:val="24"/>
          <w:szCs w:val="24"/>
        </w:rPr>
        <w:t>1. attēls.</w:t>
      </w:r>
      <w:r w:rsidRPr="006913F3">
        <w:rPr>
          <w:rFonts w:ascii="Times New Roman" w:hAnsi="Times New Roman" w:cs="Times New Roman"/>
          <w:sz w:val="24"/>
          <w:szCs w:val="24"/>
        </w:rPr>
        <w:t xml:space="preserve"> P&amp;A ieguldījumi % no IKP Latvijā un vidēji ES-27 valstīs (</w:t>
      </w:r>
      <w:r w:rsidR="009A7BD4">
        <w:rPr>
          <w:rFonts w:ascii="Times New Roman" w:hAnsi="Times New Roman" w:cs="Times New Roman"/>
          <w:sz w:val="24"/>
          <w:szCs w:val="24"/>
        </w:rPr>
        <w:t>a</w:t>
      </w:r>
      <w:r w:rsidR="009A7BD4" w:rsidRPr="006913F3">
        <w:rPr>
          <w:rFonts w:ascii="Times New Roman" w:hAnsi="Times New Roman" w:cs="Times New Roman"/>
          <w:sz w:val="24"/>
          <w:szCs w:val="24"/>
        </w:rPr>
        <w:t>vots</w:t>
      </w:r>
      <w:r w:rsidRPr="006913F3">
        <w:rPr>
          <w:rFonts w:ascii="Times New Roman" w:hAnsi="Times New Roman" w:cs="Times New Roman"/>
          <w:sz w:val="24"/>
          <w:szCs w:val="24"/>
        </w:rPr>
        <w:t xml:space="preserve">: </w:t>
      </w:r>
      <w:r w:rsidRPr="006913F3">
        <w:rPr>
          <w:rFonts w:ascii="Times New Roman" w:hAnsi="Times New Roman" w:cs="Times New Roman"/>
          <w:i/>
          <w:sz w:val="24"/>
          <w:szCs w:val="24"/>
        </w:rPr>
        <w:t>Eurostat,</w:t>
      </w:r>
      <w:r w:rsidRPr="006913F3">
        <w:rPr>
          <w:rFonts w:ascii="Times New Roman" w:hAnsi="Times New Roman" w:cs="Times New Roman"/>
          <w:sz w:val="24"/>
          <w:szCs w:val="24"/>
        </w:rPr>
        <w:t xml:space="preserve"> </w:t>
      </w:r>
      <w:r w:rsidR="00E40D59">
        <w:rPr>
          <w:rFonts w:ascii="Times New Roman" w:hAnsi="Times New Roman" w:cs="Times New Roman"/>
          <w:sz w:val="24"/>
          <w:szCs w:val="24"/>
        </w:rPr>
        <w:t xml:space="preserve">Centrālā statistikas pārvalde (turpmāk – </w:t>
      </w:r>
      <w:r w:rsidRPr="006913F3">
        <w:rPr>
          <w:rFonts w:ascii="Times New Roman" w:hAnsi="Times New Roman" w:cs="Times New Roman"/>
          <w:sz w:val="24"/>
          <w:szCs w:val="24"/>
        </w:rPr>
        <w:t>CSP</w:t>
      </w:r>
      <w:r w:rsidR="00E40D59">
        <w:rPr>
          <w:rFonts w:ascii="Times New Roman" w:hAnsi="Times New Roman" w:cs="Times New Roman"/>
          <w:sz w:val="24"/>
          <w:szCs w:val="24"/>
        </w:rPr>
        <w:t>)</w:t>
      </w:r>
      <w:r w:rsidRPr="006913F3">
        <w:rPr>
          <w:rFonts w:ascii="Times New Roman" w:hAnsi="Times New Roman" w:cs="Times New Roman"/>
          <w:sz w:val="24"/>
          <w:szCs w:val="24"/>
        </w:rPr>
        <w:t>,</w:t>
      </w:r>
      <w:r w:rsidR="00E40D59">
        <w:rPr>
          <w:rFonts w:ascii="Times New Roman" w:hAnsi="Times New Roman" w:cs="Times New Roman"/>
          <w:sz w:val="24"/>
          <w:szCs w:val="24"/>
        </w:rPr>
        <w:t xml:space="preserve"> Izglītības un zinātnes ministrijs (turpmāk – </w:t>
      </w:r>
      <w:r w:rsidRPr="006913F3">
        <w:rPr>
          <w:rFonts w:ascii="Times New Roman" w:hAnsi="Times New Roman" w:cs="Times New Roman"/>
          <w:sz w:val="24"/>
          <w:szCs w:val="24"/>
        </w:rPr>
        <w:t>IZM</w:t>
      </w:r>
      <w:r w:rsidR="00E40D59">
        <w:rPr>
          <w:rFonts w:ascii="Times New Roman" w:hAnsi="Times New Roman" w:cs="Times New Roman"/>
          <w:sz w:val="24"/>
          <w:szCs w:val="24"/>
        </w:rPr>
        <w:t>)</w:t>
      </w:r>
      <w:r w:rsidRPr="006913F3">
        <w:rPr>
          <w:rFonts w:ascii="Times New Roman" w:hAnsi="Times New Roman" w:cs="Times New Roman"/>
          <w:sz w:val="24"/>
          <w:szCs w:val="24"/>
        </w:rPr>
        <w:t xml:space="preserve"> aprēķini)</w:t>
      </w:r>
    </w:p>
    <w:p w14:paraId="2E01BFB5" w14:textId="47B7DE10" w:rsidR="00DE4FD8" w:rsidRPr="006913F3" w:rsidRDefault="00DE4FD8" w:rsidP="00A04C15">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ZTAIP paredz 2027.</w:t>
      </w:r>
      <w:r w:rsidR="002467E6">
        <w:rPr>
          <w:rFonts w:ascii="Times New Roman" w:hAnsi="Times New Roman" w:cs="Times New Roman"/>
          <w:sz w:val="24"/>
          <w:szCs w:val="24"/>
        </w:rPr>
        <w:t xml:space="preserve"> </w:t>
      </w:r>
      <w:r w:rsidRPr="006913F3">
        <w:rPr>
          <w:rFonts w:ascii="Times New Roman" w:hAnsi="Times New Roman" w:cs="Times New Roman"/>
          <w:sz w:val="24"/>
          <w:szCs w:val="24"/>
        </w:rPr>
        <w:t xml:space="preserve">gadā sasniegt ieguldījumu apjomu P&amp;A 1,5% apmērā no IKP, tādējādi būtiski pietuvinot Latvijas P&amp;A intensitāti </w:t>
      </w:r>
      <w:r w:rsidR="00C72F0C">
        <w:rPr>
          <w:rFonts w:ascii="Times New Roman" w:hAnsi="Times New Roman" w:cs="Times New Roman"/>
          <w:sz w:val="24"/>
          <w:szCs w:val="24"/>
        </w:rPr>
        <w:t>ES</w:t>
      </w:r>
      <w:r w:rsidRPr="006913F3">
        <w:rPr>
          <w:rFonts w:ascii="Times New Roman" w:hAnsi="Times New Roman" w:cs="Times New Roman"/>
          <w:sz w:val="24"/>
          <w:szCs w:val="24"/>
        </w:rPr>
        <w:t>vidējam līmenim. Pašlaik Latvijas zemā P&amp;A intensitāte saistīta ar zemo publiskā sektora (īpaši valsts) un uzņēmējdarbības sektora ieguldījumu apmēru. Zemais P&amp;A ieguldījumu apmērs tieši ietekmē zinātnisko darbinieku iespējas veikt kvalitatīvu, starptautiski konkurētspējīgu pētniecību. 2018. gadā P&amp;A ieguldījumu apmērs, rēķinot uz 1 zinātnisko darbi</w:t>
      </w:r>
      <w:r w:rsidR="00BA3A9E">
        <w:rPr>
          <w:rFonts w:ascii="Times New Roman" w:hAnsi="Times New Roman" w:cs="Times New Roman"/>
          <w:sz w:val="24"/>
          <w:szCs w:val="24"/>
        </w:rPr>
        <w:t>nieku (</w:t>
      </w:r>
      <w:r w:rsidR="00EA4EEA">
        <w:rPr>
          <w:rFonts w:ascii="Times New Roman" w:hAnsi="Times New Roman" w:cs="Times New Roman"/>
          <w:sz w:val="24"/>
          <w:szCs w:val="24"/>
        </w:rPr>
        <w:t>pilna laika ekvivalenta (</w:t>
      </w:r>
      <w:r w:rsidR="00BA3A9E">
        <w:rPr>
          <w:rFonts w:ascii="Times New Roman" w:hAnsi="Times New Roman" w:cs="Times New Roman"/>
          <w:sz w:val="24"/>
          <w:szCs w:val="24"/>
        </w:rPr>
        <w:t>PLE</w:t>
      </w:r>
      <w:r w:rsidR="00EA4EEA">
        <w:rPr>
          <w:rFonts w:ascii="Times New Roman" w:hAnsi="Times New Roman" w:cs="Times New Roman"/>
          <w:sz w:val="24"/>
          <w:szCs w:val="24"/>
        </w:rPr>
        <w:t>)</w:t>
      </w:r>
      <w:r w:rsidR="00BA3A9E">
        <w:rPr>
          <w:rFonts w:ascii="Times New Roman" w:hAnsi="Times New Roman" w:cs="Times New Roman"/>
          <w:sz w:val="24"/>
          <w:szCs w:val="24"/>
        </w:rPr>
        <w:t xml:space="preserve"> izteiksmē) sastādīja</w:t>
      </w:r>
      <w:r w:rsidR="002467E6" w:rsidRPr="002467E6">
        <w:rPr>
          <w:rFonts w:ascii="Times New Roman" w:hAnsi="Times New Roman" w:cs="Times New Roman"/>
          <w:sz w:val="24"/>
          <w:szCs w:val="24"/>
        </w:rPr>
        <w:t xml:space="preserve"> </w:t>
      </w:r>
      <w:r w:rsidRPr="002467E6">
        <w:rPr>
          <w:rFonts w:ascii="Times New Roman" w:hAnsi="Times New Roman" w:cs="Times New Roman"/>
          <w:sz w:val="24"/>
          <w:szCs w:val="24"/>
        </w:rPr>
        <w:t>30</w:t>
      </w:r>
      <w:r w:rsidR="00BA3A9E">
        <w:rPr>
          <w:rFonts w:ascii="Times New Roman" w:hAnsi="Times New Roman" w:cs="Times New Roman"/>
          <w:sz w:val="24"/>
          <w:szCs w:val="24"/>
        </w:rPr>
        <w:t> </w:t>
      </w:r>
      <w:r w:rsidRPr="002467E6">
        <w:rPr>
          <w:rFonts w:ascii="Times New Roman" w:hAnsi="Times New Roman" w:cs="Times New Roman"/>
          <w:sz w:val="24"/>
          <w:szCs w:val="24"/>
        </w:rPr>
        <w:t>833</w:t>
      </w:r>
      <w:r w:rsidR="00BA3A9E">
        <w:rPr>
          <w:rFonts w:ascii="Times New Roman" w:hAnsi="Times New Roman" w:cs="Times New Roman"/>
          <w:sz w:val="24"/>
          <w:szCs w:val="24"/>
        </w:rPr>
        <w:t xml:space="preserve"> </w:t>
      </w:r>
      <w:r w:rsidR="00BA3A9E" w:rsidRPr="00BA3A9E">
        <w:rPr>
          <w:rFonts w:ascii="Times New Roman" w:hAnsi="Times New Roman" w:cs="Times New Roman"/>
          <w:i/>
          <w:sz w:val="24"/>
          <w:szCs w:val="24"/>
        </w:rPr>
        <w:t>euro</w:t>
      </w:r>
      <w:r w:rsidRPr="00BA3A9E">
        <w:rPr>
          <w:rFonts w:ascii="Times New Roman" w:hAnsi="Times New Roman" w:cs="Times New Roman"/>
          <w:i/>
          <w:sz w:val="24"/>
          <w:szCs w:val="24"/>
        </w:rPr>
        <w:t xml:space="preserve"> </w:t>
      </w:r>
      <w:r w:rsidRPr="006913F3">
        <w:rPr>
          <w:rFonts w:ascii="Times New Roman" w:hAnsi="Times New Roman" w:cs="Times New Roman"/>
          <w:sz w:val="24"/>
          <w:szCs w:val="24"/>
        </w:rPr>
        <w:t>jeb tikai 29% no ES-27</w:t>
      </w:r>
      <w:r w:rsidR="00A04C15">
        <w:rPr>
          <w:rStyle w:val="FootnoteReference"/>
          <w:rFonts w:ascii="Times New Roman" w:hAnsi="Times New Roman" w:cs="Times New Roman"/>
          <w:sz w:val="24"/>
          <w:szCs w:val="24"/>
        </w:rPr>
        <w:footnoteReference w:id="10"/>
      </w:r>
      <w:r w:rsidRPr="006913F3">
        <w:rPr>
          <w:rFonts w:ascii="Times New Roman" w:hAnsi="Times New Roman" w:cs="Times New Roman"/>
          <w:sz w:val="24"/>
          <w:szCs w:val="24"/>
        </w:rPr>
        <w:t xml:space="preserve"> vidējā līmeņa (</w:t>
      </w:r>
      <w:r w:rsidRPr="002467E6">
        <w:rPr>
          <w:rFonts w:ascii="Times New Roman" w:hAnsi="Times New Roman" w:cs="Times New Roman"/>
          <w:sz w:val="24"/>
          <w:szCs w:val="24"/>
        </w:rPr>
        <w:t>105</w:t>
      </w:r>
      <w:r w:rsidR="00BA3A9E">
        <w:rPr>
          <w:rFonts w:ascii="Times New Roman" w:hAnsi="Times New Roman" w:cs="Times New Roman"/>
          <w:sz w:val="24"/>
          <w:szCs w:val="24"/>
        </w:rPr>
        <w:t> </w:t>
      </w:r>
      <w:r w:rsidRPr="002467E6">
        <w:rPr>
          <w:rFonts w:ascii="Times New Roman" w:hAnsi="Times New Roman" w:cs="Times New Roman"/>
          <w:sz w:val="24"/>
          <w:szCs w:val="24"/>
        </w:rPr>
        <w:t>568</w:t>
      </w:r>
      <w:r w:rsidR="00BA3A9E">
        <w:rPr>
          <w:rFonts w:ascii="Times New Roman" w:hAnsi="Times New Roman" w:cs="Times New Roman"/>
          <w:sz w:val="24"/>
          <w:szCs w:val="24"/>
        </w:rPr>
        <w:t xml:space="preserve"> </w:t>
      </w:r>
      <w:r w:rsidR="00BA3A9E" w:rsidRPr="00BA3A9E">
        <w:rPr>
          <w:rFonts w:ascii="Times New Roman" w:hAnsi="Times New Roman" w:cs="Times New Roman"/>
          <w:i/>
          <w:sz w:val="24"/>
          <w:szCs w:val="24"/>
        </w:rPr>
        <w:t>euro</w:t>
      </w:r>
      <w:r w:rsidRPr="006913F3">
        <w:rPr>
          <w:rFonts w:ascii="Times New Roman" w:hAnsi="Times New Roman" w:cs="Times New Roman"/>
          <w:sz w:val="24"/>
          <w:szCs w:val="24"/>
        </w:rPr>
        <w:t xml:space="preserve">). Tajā pašā laikā Latvijas pētnieku rezultāti ir ar augstu veikto ieguldījumu efektivitāti un līdzvērtīgi citu ES valstu pētnieku rezultātiem, ko apliecina Latvijas inovāciju rezultātu </w:t>
      </w:r>
      <w:r w:rsidR="00A04C15">
        <w:rPr>
          <w:rFonts w:ascii="Times New Roman" w:hAnsi="Times New Roman" w:cs="Times New Roman"/>
          <w:sz w:val="24"/>
          <w:szCs w:val="24"/>
        </w:rPr>
        <w:t>uzlabojums</w:t>
      </w:r>
      <w:r w:rsidR="00A04C15" w:rsidRPr="006913F3">
        <w:rPr>
          <w:rFonts w:ascii="Times New Roman" w:hAnsi="Times New Roman" w:cs="Times New Roman"/>
          <w:sz w:val="24"/>
          <w:szCs w:val="24"/>
        </w:rPr>
        <w:t xml:space="preserve"> </w:t>
      </w:r>
      <w:r w:rsidR="00A04C15">
        <w:rPr>
          <w:rFonts w:ascii="Times New Roman" w:hAnsi="Times New Roman" w:cs="Times New Roman"/>
          <w:sz w:val="24"/>
          <w:szCs w:val="24"/>
        </w:rPr>
        <w:t>Eiropas mērogā kopš 2014.gada</w:t>
      </w:r>
      <w:r w:rsidR="00A04C15">
        <w:rPr>
          <w:rStyle w:val="FootnoteReference"/>
          <w:rFonts w:ascii="Times New Roman" w:hAnsi="Times New Roman" w:cs="Times New Roman"/>
          <w:sz w:val="24"/>
          <w:szCs w:val="24"/>
        </w:rPr>
        <w:footnoteReference w:id="11"/>
      </w:r>
      <w:r w:rsidR="00A04C15">
        <w:rPr>
          <w:rFonts w:ascii="Times New Roman" w:hAnsi="Times New Roman" w:cs="Times New Roman"/>
          <w:sz w:val="24"/>
          <w:szCs w:val="24"/>
        </w:rPr>
        <w:t xml:space="preserve"> </w:t>
      </w:r>
      <w:r w:rsidRPr="006913F3">
        <w:rPr>
          <w:rFonts w:ascii="Times New Roman" w:hAnsi="Times New Roman" w:cs="Times New Roman"/>
          <w:sz w:val="24"/>
          <w:szCs w:val="24"/>
        </w:rPr>
        <w:t>, uzlabojumi Globālajā inovāciju indeksā</w:t>
      </w:r>
      <w:r w:rsidR="00A04C15">
        <w:rPr>
          <w:rStyle w:val="FootnoteReference"/>
          <w:rFonts w:ascii="Times New Roman" w:hAnsi="Times New Roman" w:cs="Times New Roman"/>
          <w:sz w:val="24"/>
          <w:szCs w:val="24"/>
        </w:rPr>
        <w:footnoteReference w:id="12"/>
      </w:r>
      <w:r w:rsidRPr="006913F3">
        <w:rPr>
          <w:rFonts w:ascii="Times New Roman" w:hAnsi="Times New Roman" w:cs="Times New Roman"/>
          <w:sz w:val="24"/>
          <w:szCs w:val="24"/>
        </w:rPr>
        <w:t xml:space="preserve"> utml. Veikto </w:t>
      </w:r>
      <w:r w:rsidR="00A04C15">
        <w:rPr>
          <w:rFonts w:ascii="Times New Roman" w:hAnsi="Times New Roman" w:cs="Times New Roman"/>
          <w:sz w:val="24"/>
          <w:szCs w:val="24"/>
        </w:rPr>
        <w:t xml:space="preserve">pētniecības </w:t>
      </w:r>
      <w:r w:rsidRPr="006913F3">
        <w:rPr>
          <w:rFonts w:ascii="Times New Roman" w:hAnsi="Times New Roman" w:cs="Times New Roman"/>
          <w:sz w:val="24"/>
          <w:szCs w:val="24"/>
        </w:rPr>
        <w:t>resursu efektivizācijas kontekstā esošais P&amp;A ieguldījumu apmērs ļauj noturēt tikai esošo pētniecības kvalitātes un snieguma līmeni un turpmāks palielinājums nav iespējams bez papildu ieguldījumiem P&amp;A (t.sk</w:t>
      </w:r>
      <w:r w:rsidR="009A7BD4">
        <w:rPr>
          <w:rFonts w:ascii="Times New Roman" w:hAnsi="Times New Roman" w:cs="Times New Roman"/>
          <w:sz w:val="24"/>
          <w:szCs w:val="24"/>
        </w:rPr>
        <w:t>.</w:t>
      </w:r>
      <w:r w:rsidRPr="006913F3">
        <w:rPr>
          <w:rFonts w:ascii="Times New Roman" w:hAnsi="Times New Roman" w:cs="Times New Roman"/>
          <w:sz w:val="24"/>
          <w:szCs w:val="24"/>
        </w:rPr>
        <w:t xml:space="preserve"> no valsts budžeta līdzekļiem).</w:t>
      </w:r>
    </w:p>
    <w:p w14:paraId="25017FCE" w14:textId="77777777" w:rsidR="00892577" w:rsidRDefault="00DE4FD8"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Lai gan ieguldījumu apjoms P&amp;</w:t>
      </w:r>
      <w:r w:rsidR="00BA3A9E">
        <w:rPr>
          <w:rFonts w:ascii="Times New Roman" w:hAnsi="Times New Roman" w:cs="Times New Roman"/>
          <w:sz w:val="24"/>
          <w:szCs w:val="24"/>
        </w:rPr>
        <w:t>A Latvijā ir audzis no 140 miljoni</w:t>
      </w:r>
      <w:r w:rsidR="009A7BD4">
        <w:rPr>
          <w:rFonts w:ascii="Times New Roman" w:hAnsi="Times New Roman" w:cs="Times New Roman"/>
          <w:sz w:val="24"/>
          <w:szCs w:val="24"/>
        </w:rPr>
        <w:t>em</w:t>
      </w:r>
      <w:r w:rsidRPr="006913F3">
        <w:rPr>
          <w:rFonts w:ascii="Times New Roman" w:hAnsi="Times New Roman" w:cs="Times New Roman"/>
          <w:sz w:val="24"/>
          <w:szCs w:val="24"/>
        </w:rPr>
        <w:t xml:space="preserve"> </w:t>
      </w:r>
      <w:r w:rsidRPr="00BA3A9E">
        <w:rPr>
          <w:rFonts w:ascii="Times New Roman" w:hAnsi="Times New Roman" w:cs="Times New Roman"/>
          <w:i/>
          <w:sz w:val="24"/>
          <w:szCs w:val="24"/>
        </w:rPr>
        <w:t>euro</w:t>
      </w:r>
      <w:r w:rsidR="00BA3A9E">
        <w:rPr>
          <w:rFonts w:ascii="Times New Roman" w:hAnsi="Times New Roman" w:cs="Times New Roman"/>
          <w:sz w:val="24"/>
          <w:szCs w:val="24"/>
        </w:rPr>
        <w:t xml:space="preserve"> 2013. gadā </w:t>
      </w:r>
      <w:r w:rsidR="009A7BD4">
        <w:rPr>
          <w:rFonts w:ascii="Times New Roman" w:hAnsi="Times New Roman" w:cs="Times New Roman"/>
          <w:sz w:val="24"/>
          <w:szCs w:val="24"/>
        </w:rPr>
        <w:t>līdz</w:t>
      </w:r>
      <w:r w:rsidR="00BA3A9E">
        <w:rPr>
          <w:rFonts w:ascii="Times New Roman" w:hAnsi="Times New Roman" w:cs="Times New Roman"/>
          <w:sz w:val="24"/>
          <w:szCs w:val="24"/>
        </w:rPr>
        <w:t xml:space="preserve"> 195 miljoniem</w:t>
      </w:r>
      <w:r w:rsidRPr="006913F3">
        <w:rPr>
          <w:rFonts w:ascii="Times New Roman" w:hAnsi="Times New Roman" w:cs="Times New Roman"/>
          <w:sz w:val="24"/>
          <w:szCs w:val="24"/>
        </w:rPr>
        <w:t xml:space="preserve"> </w:t>
      </w:r>
      <w:r w:rsidRPr="00BA3A9E">
        <w:rPr>
          <w:rFonts w:ascii="Times New Roman" w:hAnsi="Times New Roman" w:cs="Times New Roman"/>
          <w:i/>
          <w:sz w:val="24"/>
          <w:szCs w:val="24"/>
        </w:rPr>
        <w:t>euro</w:t>
      </w:r>
      <w:r w:rsidRPr="006913F3">
        <w:rPr>
          <w:rFonts w:ascii="Times New Roman" w:hAnsi="Times New Roman" w:cs="Times New Roman"/>
          <w:sz w:val="24"/>
          <w:szCs w:val="24"/>
        </w:rPr>
        <w:t xml:space="preserve"> 2019. gadā, sekmējot pētniecības apjoma, produktivitātes, izcilības un starptautiskās redzamības palielināšanos, joprojām publiskā sektora ieguldījumu apjoms salīdzinājumā ar citām ES-27 valstīm ir </w:t>
      </w:r>
      <w:r w:rsidR="009A7BD4">
        <w:rPr>
          <w:rFonts w:ascii="Times New Roman" w:hAnsi="Times New Roman" w:cs="Times New Roman"/>
          <w:sz w:val="24"/>
          <w:szCs w:val="24"/>
        </w:rPr>
        <w:t>zems</w:t>
      </w:r>
      <w:r w:rsidR="00DC1887">
        <w:rPr>
          <w:rStyle w:val="FootnoteReference"/>
          <w:rFonts w:ascii="Times New Roman" w:hAnsi="Times New Roman" w:cs="Times New Roman"/>
          <w:sz w:val="24"/>
          <w:szCs w:val="24"/>
        </w:rPr>
        <w:footnoteReference w:id="13"/>
      </w:r>
      <w:r w:rsidRPr="006913F3">
        <w:rPr>
          <w:rFonts w:ascii="Times New Roman" w:hAnsi="Times New Roman" w:cs="Times New Roman"/>
          <w:sz w:val="24"/>
          <w:szCs w:val="24"/>
        </w:rPr>
        <w:t xml:space="preserve">. Latvijas P&amp;A sistēma ir pārlieku atkarīga no ES struktūrfondu pieejamības (39% no P&amp;A finansējuma 2014.-2018. gadā tika nodrošināti no ārvalstu </w:t>
      </w:r>
      <w:r w:rsidR="00C72F0C">
        <w:rPr>
          <w:rFonts w:ascii="Times New Roman" w:hAnsi="Times New Roman" w:cs="Times New Roman"/>
          <w:sz w:val="24"/>
          <w:szCs w:val="24"/>
        </w:rPr>
        <w:t xml:space="preserve">publiskaiem </w:t>
      </w:r>
      <w:r w:rsidRPr="006913F3">
        <w:rPr>
          <w:rFonts w:ascii="Times New Roman" w:hAnsi="Times New Roman" w:cs="Times New Roman"/>
          <w:sz w:val="24"/>
          <w:szCs w:val="24"/>
        </w:rPr>
        <w:t>avotiem, galvenokārt ES struktūrfondiem), un ar to saistītās cikliskās svārstības nenodrošina stabilu un ilgtspējīgu P&amp;A cilvēkkapitāla attīstību un pētniecības proce</w:t>
      </w:r>
      <w:r w:rsidR="0073411C">
        <w:rPr>
          <w:rFonts w:ascii="Times New Roman" w:hAnsi="Times New Roman" w:cs="Times New Roman"/>
          <w:sz w:val="24"/>
          <w:szCs w:val="24"/>
        </w:rPr>
        <w:t>su nepārtrauktību.</w:t>
      </w:r>
      <w:r w:rsidR="009A7BD4">
        <w:rPr>
          <w:rFonts w:ascii="Times New Roman" w:hAnsi="Times New Roman" w:cs="Times New Roman"/>
          <w:sz w:val="24"/>
          <w:szCs w:val="24"/>
        </w:rPr>
        <w:t xml:space="preserve"> Zinātniskajām institūcijām tas savukārt traucē īstenot stabilu pētniecības programmu.</w:t>
      </w:r>
      <w:r w:rsidR="0073411C">
        <w:rPr>
          <w:rFonts w:ascii="Times New Roman" w:hAnsi="Times New Roman" w:cs="Times New Roman"/>
          <w:sz w:val="24"/>
          <w:szCs w:val="24"/>
        </w:rPr>
        <w:t xml:space="preserve"> Pēdējo gadu, </w:t>
      </w:r>
      <w:r w:rsidRPr="006913F3">
        <w:rPr>
          <w:rFonts w:ascii="Times New Roman" w:hAnsi="Times New Roman" w:cs="Times New Roman"/>
          <w:sz w:val="24"/>
          <w:szCs w:val="24"/>
        </w:rPr>
        <w:t>2018. un 2019.</w:t>
      </w:r>
      <w:r w:rsidR="0073411C">
        <w:rPr>
          <w:rFonts w:ascii="Times New Roman" w:hAnsi="Times New Roman" w:cs="Times New Roman"/>
          <w:sz w:val="24"/>
          <w:szCs w:val="24"/>
        </w:rPr>
        <w:t xml:space="preserve"> gada, </w:t>
      </w:r>
      <w:r w:rsidRPr="006913F3">
        <w:rPr>
          <w:rFonts w:ascii="Times New Roman" w:hAnsi="Times New Roman" w:cs="Times New Roman"/>
          <w:sz w:val="24"/>
          <w:szCs w:val="24"/>
        </w:rPr>
        <w:t xml:space="preserve"> tendences gan </w:t>
      </w:r>
      <w:r w:rsidRPr="006913F3">
        <w:rPr>
          <w:rFonts w:ascii="Times New Roman" w:hAnsi="Times New Roman" w:cs="Times New Roman"/>
          <w:sz w:val="24"/>
          <w:szCs w:val="24"/>
        </w:rPr>
        <w:lastRenderedPageBreak/>
        <w:t>norāda, ka Latvijas P&amp;A sistēmas pārlieku lielā balstīšanās uz ES fondu finansējumu samazinājusies, jo ir nozīmīgs uzlabojums salīdzinājumā ar 2010.–2012.</w:t>
      </w:r>
      <w:r w:rsidR="0073411C">
        <w:rPr>
          <w:rFonts w:ascii="Times New Roman" w:hAnsi="Times New Roman" w:cs="Times New Roman"/>
          <w:sz w:val="24"/>
          <w:szCs w:val="24"/>
        </w:rPr>
        <w:t xml:space="preserve"> </w:t>
      </w:r>
      <w:r w:rsidRPr="006913F3">
        <w:rPr>
          <w:rFonts w:ascii="Times New Roman" w:hAnsi="Times New Roman" w:cs="Times New Roman"/>
          <w:sz w:val="24"/>
          <w:szCs w:val="24"/>
        </w:rPr>
        <w:t xml:space="preserve">gadu, kad vairāk nekā puse P&amp;A finansējuma bija ES </w:t>
      </w:r>
      <w:r w:rsidR="009A7BD4">
        <w:rPr>
          <w:rFonts w:ascii="Times New Roman" w:hAnsi="Times New Roman" w:cs="Times New Roman"/>
          <w:sz w:val="24"/>
          <w:szCs w:val="24"/>
        </w:rPr>
        <w:t>struktūr</w:t>
      </w:r>
      <w:r w:rsidRPr="006913F3">
        <w:rPr>
          <w:rFonts w:ascii="Times New Roman" w:hAnsi="Times New Roman" w:cs="Times New Roman"/>
          <w:sz w:val="24"/>
          <w:szCs w:val="24"/>
        </w:rPr>
        <w:t>fondu finansējums. Arī ZTAIP un NAP paredzētās investīciju aktivitātēs, kur zinātnē daļa papildu finansējuma ir arī paredzēta no valsts budžeta līdzekļiem</w:t>
      </w:r>
      <w:r w:rsidR="001C27A3" w:rsidRPr="006913F3">
        <w:rPr>
          <w:rFonts w:ascii="Times New Roman" w:hAnsi="Times New Roman" w:cs="Times New Roman"/>
          <w:sz w:val="24"/>
          <w:szCs w:val="24"/>
        </w:rPr>
        <w:t>,</w:t>
      </w:r>
      <w:r w:rsidRPr="006913F3">
        <w:rPr>
          <w:rFonts w:ascii="Times New Roman" w:hAnsi="Times New Roman" w:cs="Times New Roman"/>
          <w:sz w:val="24"/>
          <w:szCs w:val="24"/>
        </w:rPr>
        <w:t xml:space="preserve"> ļaus turpināt šo pozitīvo tendenci 2021.-2027.</w:t>
      </w:r>
      <w:r w:rsidR="0073411C">
        <w:rPr>
          <w:rFonts w:ascii="Times New Roman" w:hAnsi="Times New Roman" w:cs="Times New Roman"/>
          <w:sz w:val="24"/>
          <w:szCs w:val="24"/>
        </w:rPr>
        <w:t xml:space="preserve"> </w:t>
      </w:r>
      <w:r w:rsidRPr="006913F3">
        <w:rPr>
          <w:rFonts w:ascii="Times New Roman" w:hAnsi="Times New Roman" w:cs="Times New Roman"/>
          <w:sz w:val="24"/>
          <w:szCs w:val="24"/>
        </w:rPr>
        <w:t xml:space="preserve">gadā, tajā skaitā ļaujot izvairīties no iespējamā ES </w:t>
      </w:r>
      <w:r w:rsidR="00C72F0C">
        <w:rPr>
          <w:rFonts w:ascii="Times New Roman" w:hAnsi="Times New Roman" w:cs="Times New Roman"/>
          <w:sz w:val="24"/>
          <w:szCs w:val="24"/>
        </w:rPr>
        <w:t>struktūr</w:t>
      </w:r>
      <w:r w:rsidRPr="006913F3">
        <w:rPr>
          <w:rFonts w:ascii="Times New Roman" w:hAnsi="Times New Roman" w:cs="Times New Roman"/>
          <w:sz w:val="24"/>
          <w:szCs w:val="24"/>
        </w:rPr>
        <w:t>fondu finansējuma cikliskuma.</w:t>
      </w:r>
    </w:p>
    <w:p w14:paraId="3C08AADB" w14:textId="1E0B8574" w:rsidR="00F73CB3" w:rsidRPr="006913F3" w:rsidRDefault="00DE4FD8" w:rsidP="003D3331">
      <w:pPr>
        <w:spacing w:after="0" w:line="240" w:lineRule="auto"/>
        <w:ind w:firstLine="720"/>
        <w:jc w:val="both"/>
        <w:rPr>
          <w:rFonts w:ascii="Times New Roman" w:eastAsia="Times New Roman" w:hAnsi="Times New Roman" w:cs="Times New Roman"/>
          <w:sz w:val="24"/>
          <w:szCs w:val="24"/>
        </w:rPr>
      </w:pPr>
      <w:r w:rsidRPr="006913F3">
        <w:rPr>
          <w:rFonts w:ascii="Times New Roman" w:hAnsi="Times New Roman" w:cs="Times New Roman"/>
          <w:sz w:val="24"/>
          <w:szCs w:val="24"/>
        </w:rPr>
        <w:t xml:space="preserve"> </w:t>
      </w:r>
      <w:r w:rsidR="00892577">
        <w:rPr>
          <w:noProof/>
          <w:lang w:val="en-GB" w:eastAsia="en-GB"/>
        </w:rPr>
        <w:drawing>
          <wp:inline distT="0" distB="0" distL="0" distR="0" wp14:anchorId="68842D4D" wp14:editId="3A854053">
            <wp:extent cx="5200650" cy="2914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8F6A40" w14:textId="3B0B63EB" w:rsidR="00F73CB3" w:rsidRPr="006913F3" w:rsidRDefault="00F73CB3" w:rsidP="00F73CB3">
      <w:pPr>
        <w:jc w:val="both"/>
        <w:rPr>
          <w:rFonts w:ascii="Times New Roman" w:eastAsia="Times New Roman" w:hAnsi="Times New Roman" w:cs="Times New Roman"/>
          <w:sz w:val="24"/>
        </w:rPr>
      </w:pPr>
      <w:r w:rsidRPr="00755FAE">
        <w:rPr>
          <w:rFonts w:ascii="Times New Roman" w:eastAsia="Times New Roman" w:hAnsi="Times New Roman" w:cs="Times New Roman"/>
          <w:b/>
          <w:sz w:val="24"/>
        </w:rPr>
        <w:t xml:space="preserve">2. attēls. </w:t>
      </w:r>
      <w:r w:rsidRPr="006913F3">
        <w:rPr>
          <w:rFonts w:ascii="Times New Roman" w:eastAsia="Times New Roman" w:hAnsi="Times New Roman" w:cs="Times New Roman"/>
          <w:sz w:val="24"/>
        </w:rPr>
        <w:t xml:space="preserve">Kopējais valsts finansējums zinātniski pētnieciskajam darbam (milj. </w:t>
      </w:r>
      <w:r w:rsidR="00190F05" w:rsidRPr="003D3331">
        <w:rPr>
          <w:rFonts w:ascii="Times New Roman" w:eastAsia="Times New Roman" w:hAnsi="Times New Roman" w:cs="Times New Roman"/>
          <w:i/>
          <w:sz w:val="24"/>
        </w:rPr>
        <w:t>euro</w:t>
      </w:r>
      <w:r w:rsidRPr="006913F3">
        <w:rPr>
          <w:rFonts w:ascii="Times New Roman" w:eastAsia="Times New Roman" w:hAnsi="Times New Roman" w:cs="Times New Roman"/>
          <w:sz w:val="24"/>
        </w:rPr>
        <w:t>) (avots: CSP, IZM aprēķini)</w:t>
      </w:r>
    </w:p>
    <w:p w14:paraId="1FEBF929" w14:textId="339F52E6" w:rsidR="00F73CB3" w:rsidRPr="006913F3" w:rsidRDefault="00F73CB3" w:rsidP="00892577">
      <w:pPr>
        <w:spacing w:after="0" w:line="240" w:lineRule="auto"/>
        <w:ind w:firstLine="720"/>
        <w:jc w:val="both"/>
        <w:rPr>
          <w:rFonts w:ascii="Times New Roman" w:eastAsia="Times New Roman" w:hAnsi="Times New Roman" w:cs="Times New Roman"/>
          <w:sz w:val="24"/>
          <w:szCs w:val="24"/>
        </w:rPr>
      </w:pPr>
      <w:bookmarkStart w:id="1" w:name="_30j0zll" w:colFirst="0" w:colLast="0"/>
      <w:bookmarkEnd w:id="1"/>
      <w:r w:rsidRPr="006913F3">
        <w:rPr>
          <w:rFonts w:ascii="Times New Roman" w:eastAsia="Times New Roman" w:hAnsi="Times New Roman" w:cs="Times New Roman"/>
          <w:sz w:val="24"/>
          <w:szCs w:val="24"/>
        </w:rPr>
        <w:t xml:space="preserve">Pēdējo 10 gadu laikā ievērojami palielinājies valsts finansējums P&amp;A, 2019. gadā absolūtos skaitļos pārsniedzot 2008. gada līmeni pirms ekonomiskās krīzes. Tomēr, kopumā valsts budžeta ieguldījumu īpatsvars kopējā P&amp;A ieguldījumu </w:t>
      </w:r>
      <w:r w:rsidR="001C27A3" w:rsidRPr="006913F3">
        <w:rPr>
          <w:rFonts w:ascii="Times New Roman" w:eastAsia="Times New Roman" w:hAnsi="Times New Roman" w:cs="Times New Roman"/>
          <w:sz w:val="24"/>
          <w:szCs w:val="24"/>
        </w:rPr>
        <w:t>apjomā (% no IKP) ir samazināj</w:t>
      </w:r>
      <w:r w:rsidRPr="006913F3">
        <w:rPr>
          <w:rFonts w:ascii="Times New Roman" w:eastAsia="Times New Roman" w:hAnsi="Times New Roman" w:cs="Times New Roman"/>
          <w:sz w:val="24"/>
          <w:szCs w:val="24"/>
        </w:rPr>
        <w:t>ies. 2019. gadā valsts budžeta ieguldījumi P&amp;A veidoja 0,29% no IKP, savukārt 2008. gadā – 0,23%.  Mazais ieguldījumu apjoms P&amp;A, t.sk. valsts budžeta apjoms, nenodrošina izcilas P&amp;</w:t>
      </w:r>
      <w:r w:rsidR="00190F05">
        <w:rPr>
          <w:rFonts w:ascii="Times New Roman" w:eastAsia="Times New Roman" w:hAnsi="Times New Roman" w:cs="Times New Roman"/>
          <w:sz w:val="24"/>
          <w:szCs w:val="24"/>
        </w:rPr>
        <w:t>A</w:t>
      </w:r>
      <w:r w:rsidR="00190F05"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attīstību pietiekošā apjomā, kā arī pilnvērtīgu integrāciju ar starptautisko P&amp;</w:t>
      </w:r>
      <w:r w:rsidR="00190F05">
        <w:rPr>
          <w:rFonts w:ascii="Times New Roman" w:eastAsia="Times New Roman" w:hAnsi="Times New Roman" w:cs="Times New Roman"/>
          <w:sz w:val="24"/>
          <w:szCs w:val="24"/>
        </w:rPr>
        <w:t>A</w:t>
      </w:r>
      <w:r w:rsidR="00190F05"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vidi. No šī finansējuma lielāko daļu veidoja IZM budžeta programmā 05.00.00 “Zinātne” paredzētais finansējums, kurš 2019.</w:t>
      </w:r>
      <w:r w:rsidR="0073411C">
        <w:rPr>
          <w:rFonts w:ascii="Times New Roman" w:eastAsia="Times New Roman" w:hAnsi="Times New Roman" w:cs="Times New Roman"/>
          <w:sz w:val="24"/>
          <w:szCs w:val="24"/>
        </w:rPr>
        <w:t xml:space="preserve"> gadā bija 46</w:t>
      </w:r>
      <w:r w:rsidR="00190F05">
        <w:rPr>
          <w:rFonts w:ascii="Times New Roman" w:eastAsia="Times New Roman" w:hAnsi="Times New Roman" w:cs="Times New Roman"/>
          <w:sz w:val="24"/>
          <w:szCs w:val="24"/>
        </w:rPr>
        <w:t>,</w:t>
      </w:r>
      <w:r w:rsidR="0073411C">
        <w:rPr>
          <w:rFonts w:ascii="Times New Roman" w:eastAsia="Times New Roman" w:hAnsi="Times New Roman" w:cs="Times New Roman"/>
          <w:sz w:val="24"/>
          <w:szCs w:val="24"/>
        </w:rPr>
        <w:t xml:space="preserve">2 miloni </w:t>
      </w:r>
      <w:r w:rsidR="0073411C" w:rsidRPr="0073411C">
        <w:rPr>
          <w:rFonts w:ascii="Times New Roman" w:eastAsia="Times New Roman" w:hAnsi="Times New Roman" w:cs="Times New Roman"/>
          <w:i/>
          <w:sz w:val="24"/>
          <w:szCs w:val="24"/>
        </w:rPr>
        <w:t>eu</w:t>
      </w:r>
      <w:r w:rsidRPr="0073411C">
        <w:rPr>
          <w:rFonts w:ascii="Times New Roman" w:eastAsia="Times New Roman" w:hAnsi="Times New Roman" w:cs="Times New Roman"/>
          <w:i/>
          <w:sz w:val="24"/>
          <w:szCs w:val="24"/>
        </w:rPr>
        <w:t>ro</w:t>
      </w:r>
      <w:r w:rsidRPr="006913F3">
        <w:rPr>
          <w:rFonts w:ascii="Times New Roman" w:eastAsia="Times New Roman" w:hAnsi="Times New Roman" w:cs="Times New Roman"/>
          <w:sz w:val="24"/>
          <w:szCs w:val="24"/>
        </w:rPr>
        <w:t xml:space="preserve"> apmērā jeb 67 % no visa valsts budžeta finansējuma zinātnei. Pārējo valsts budžeta finansējumu zinātnei veido valsts līdzfinansējums ES </w:t>
      </w:r>
      <w:r w:rsidR="00E40D59">
        <w:rPr>
          <w:rFonts w:ascii="Times New Roman" w:eastAsia="Times New Roman" w:hAnsi="Times New Roman" w:cs="Times New Roman"/>
          <w:sz w:val="24"/>
          <w:szCs w:val="24"/>
        </w:rPr>
        <w:t>struktūr</w:t>
      </w:r>
      <w:r w:rsidRPr="006913F3">
        <w:rPr>
          <w:rFonts w:ascii="Times New Roman" w:eastAsia="Times New Roman" w:hAnsi="Times New Roman" w:cs="Times New Roman"/>
          <w:sz w:val="24"/>
          <w:szCs w:val="24"/>
        </w:rPr>
        <w:t xml:space="preserve">fondu programmās, </w:t>
      </w:r>
      <w:r w:rsidR="00C72F0C">
        <w:rPr>
          <w:rFonts w:ascii="Times New Roman" w:eastAsia="Times New Roman" w:hAnsi="Times New Roman" w:cs="Times New Roman"/>
          <w:sz w:val="24"/>
          <w:szCs w:val="24"/>
        </w:rPr>
        <w:t xml:space="preserve">valsts </w:t>
      </w:r>
      <w:r w:rsidRPr="006913F3">
        <w:rPr>
          <w:rFonts w:ascii="Times New Roman" w:eastAsia="Times New Roman" w:hAnsi="Times New Roman" w:cs="Times New Roman"/>
          <w:sz w:val="24"/>
          <w:szCs w:val="24"/>
        </w:rPr>
        <w:t>augstskolu snieguma finansējums (IZM budžeta apakšprogramma 03.03.00 Zinātniskās darbības attīstība augs</w:t>
      </w:r>
      <w:r w:rsidR="0073411C">
        <w:rPr>
          <w:rFonts w:ascii="Times New Roman" w:eastAsia="Times New Roman" w:hAnsi="Times New Roman" w:cs="Times New Roman"/>
          <w:sz w:val="24"/>
          <w:szCs w:val="24"/>
        </w:rPr>
        <w:t>tskolās un koledžās ar 6</w:t>
      </w:r>
      <w:r w:rsidR="00E40D59">
        <w:rPr>
          <w:rFonts w:ascii="Times New Roman" w:eastAsia="Times New Roman" w:hAnsi="Times New Roman" w:cs="Times New Roman"/>
          <w:sz w:val="24"/>
          <w:szCs w:val="24"/>
        </w:rPr>
        <w:t>,</w:t>
      </w:r>
      <w:r w:rsidR="0073411C">
        <w:rPr>
          <w:rFonts w:ascii="Times New Roman" w:eastAsia="Times New Roman" w:hAnsi="Times New Roman" w:cs="Times New Roman"/>
          <w:sz w:val="24"/>
          <w:szCs w:val="24"/>
        </w:rPr>
        <w:t xml:space="preserve">5 miljoni </w:t>
      </w:r>
      <w:r w:rsidR="0073411C" w:rsidRPr="0073411C">
        <w:rPr>
          <w:rFonts w:ascii="Times New Roman" w:eastAsia="Times New Roman" w:hAnsi="Times New Roman" w:cs="Times New Roman"/>
          <w:i/>
          <w:sz w:val="24"/>
          <w:szCs w:val="24"/>
        </w:rPr>
        <w:t>eu</w:t>
      </w:r>
      <w:r w:rsidRPr="0073411C">
        <w:rPr>
          <w:rFonts w:ascii="Times New Roman" w:eastAsia="Times New Roman" w:hAnsi="Times New Roman" w:cs="Times New Roman"/>
          <w:i/>
          <w:sz w:val="24"/>
          <w:szCs w:val="24"/>
        </w:rPr>
        <w:t>ro</w:t>
      </w:r>
      <w:r w:rsidRPr="006913F3">
        <w:rPr>
          <w:rFonts w:ascii="Times New Roman" w:eastAsia="Times New Roman" w:hAnsi="Times New Roman" w:cs="Times New Roman"/>
          <w:sz w:val="24"/>
          <w:szCs w:val="24"/>
        </w:rPr>
        <w:t xml:space="preserve"> finansējumu 2019.</w:t>
      </w:r>
      <w:r w:rsidR="0073411C">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gadā) un citu ministriju vai valsts iestāžu pasūtītie līgumpētījumi</w:t>
      </w:r>
      <w:r w:rsidR="001C27A3" w:rsidRPr="006913F3">
        <w:rPr>
          <w:rFonts w:ascii="Times New Roman" w:eastAsia="Times New Roman" w:hAnsi="Times New Roman" w:cs="Times New Roman"/>
          <w:sz w:val="24"/>
          <w:szCs w:val="24"/>
        </w:rPr>
        <w:t>,</w:t>
      </w:r>
      <w:r w:rsidRPr="006913F3">
        <w:rPr>
          <w:rFonts w:ascii="Times New Roman" w:eastAsia="Times New Roman" w:hAnsi="Times New Roman" w:cs="Times New Roman"/>
          <w:sz w:val="24"/>
          <w:szCs w:val="24"/>
        </w:rPr>
        <w:t xml:space="preserve"> kā arī </w:t>
      </w:r>
      <w:r w:rsidR="00E40D59">
        <w:rPr>
          <w:rFonts w:ascii="Times New Roman" w:eastAsia="Times New Roman" w:hAnsi="Times New Roman" w:cs="Times New Roman"/>
          <w:sz w:val="24"/>
          <w:szCs w:val="24"/>
        </w:rPr>
        <w:t>v</w:t>
      </w:r>
      <w:r w:rsidR="00E40D59" w:rsidRPr="006913F3">
        <w:rPr>
          <w:rFonts w:ascii="Times New Roman" w:eastAsia="Times New Roman" w:hAnsi="Times New Roman" w:cs="Times New Roman"/>
          <w:sz w:val="24"/>
          <w:szCs w:val="24"/>
        </w:rPr>
        <w:t xml:space="preserve">alsts </w:t>
      </w:r>
      <w:r w:rsidRPr="006913F3">
        <w:rPr>
          <w:rFonts w:ascii="Times New Roman" w:eastAsia="Times New Roman" w:hAnsi="Times New Roman" w:cs="Times New Roman"/>
          <w:sz w:val="24"/>
          <w:szCs w:val="24"/>
        </w:rPr>
        <w:t>pētījumu programmas citās nozaru ministrijās (2019.</w:t>
      </w:r>
      <w:r w:rsidR="0073411C">
        <w:rPr>
          <w:rFonts w:ascii="Times New Roman" w:eastAsia="Times New Roman" w:hAnsi="Times New Roman" w:cs="Times New Roman"/>
          <w:sz w:val="24"/>
          <w:szCs w:val="24"/>
        </w:rPr>
        <w:t xml:space="preserve"> gadā 2 miljoni </w:t>
      </w:r>
      <w:r w:rsidR="0073411C" w:rsidRPr="0073411C">
        <w:rPr>
          <w:rFonts w:ascii="Times New Roman" w:eastAsia="Times New Roman" w:hAnsi="Times New Roman" w:cs="Times New Roman"/>
          <w:i/>
          <w:sz w:val="24"/>
          <w:szCs w:val="24"/>
        </w:rPr>
        <w:t>euro</w:t>
      </w:r>
      <w:r w:rsidRPr="0073411C">
        <w:rPr>
          <w:rFonts w:ascii="Times New Roman" w:eastAsia="Times New Roman" w:hAnsi="Times New Roman" w:cs="Times New Roman"/>
          <w:i/>
          <w:sz w:val="24"/>
          <w:szCs w:val="24"/>
        </w:rPr>
        <w:t xml:space="preserve"> </w:t>
      </w:r>
      <w:r w:rsidRPr="006913F3">
        <w:rPr>
          <w:rFonts w:ascii="Times New Roman" w:eastAsia="Times New Roman" w:hAnsi="Times New Roman" w:cs="Times New Roman"/>
          <w:sz w:val="24"/>
          <w:szCs w:val="24"/>
        </w:rPr>
        <w:t xml:space="preserve">apmērā </w:t>
      </w:r>
      <w:r w:rsidR="00E40D59">
        <w:rPr>
          <w:rFonts w:ascii="Times New Roman" w:eastAsia="Times New Roman" w:hAnsi="Times New Roman" w:cs="Times New Roman"/>
          <w:sz w:val="24"/>
          <w:szCs w:val="24"/>
        </w:rPr>
        <w:t>Ekonomikas ministrijas</w:t>
      </w:r>
      <w:r w:rsidR="00E40D59"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budžeta apakšprogrammā 29.05.00 “Valsts pētījumu programma enerģētikā”).</w:t>
      </w:r>
    </w:p>
    <w:p w14:paraId="3AC2608D" w14:textId="1672282B" w:rsidR="00F73CB3" w:rsidRPr="006913F3" w:rsidRDefault="00F73CB3" w:rsidP="00892577">
      <w:pPr>
        <w:spacing w:after="0" w:line="240" w:lineRule="auto"/>
        <w:ind w:firstLine="720"/>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ZTAIP ietvaros ir paredzēts finansējums papildu atbalstam no valsts budžeta P&amp;A, balstoties uz NAP pared</w:t>
      </w:r>
      <w:r w:rsidR="0073411C">
        <w:rPr>
          <w:rFonts w:ascii="Times New Roman" w:eastAsia="Times New Roman" w:hAnsi="Times New Roman" w:cs="Times New Roman"/>
          <w:sz w:val="24"/>
          <w:szCs w:val="24"/>
        </w:rPr>
        <w:t>zētajām investīcijām 196</w:t>
      </w:r>
      <w:r w:rsidR="00E40D59">
        <w:rPr>
          <w:rFonts w:ascii="Times New Roman" w:eastAsia="Times New Roman" w:hAnsi="Times New Roman" w:cs="Times New Roman"/>
          <w:sz w:val="24"/>
          <w:szCs w:val="24"/>
        </w:rPr>
        <w:t>,</w:t>
      </w:r>
      <w:r w:rsidR="0073411C">
        <w:rPr>
          <w:rFonts w:ascii="Times New Roman" w:eastAsia="Times New Roman" w:hAnsi="Times New Roman" w:cs="Times New Roman"/>
          <w:sz w:val="24"/>
          <w:szCs w:val="24"/>
        </w:rPr>
        <w:t xml:space="preserve">5 miljoni </w:t>
      </w:r>
      <w:r w:rsidR="0073411C" w:rsidRPr="0073411C">
        <w:rPr>
          <w:rFonts w:ascii="Times New Roman" w:eastAsia="Times New Roman" w:hAnsi="Times New Roman" w:cs="Times New Roman"/>
          <w:i/>
          <w:sz w:val="24"/>
          <w:szCs w:val="24"/>
        </w:rPr>
        <w:t>eu</w:t>
      </w:r>
      <w:r w:rsidRPr="0073411C">
        <w:rPr>
          <w:rFonts w:ascii="Times New Roman" w:eastAsia="Times New Roman" w:hAnsi="Times New Roman" w:cs="Times New Roman"/>
          <w:i/>
          <w:sz w:val="24"/>
          <w:szCs w:val="24"/>
        </w:rPr>
        <w:t>ro</w:t>
      </w:r>
      <w:r w:rsidRPr="006913F3">
        <w:rPr>
          <w:rFonts w:ascii="Times New Roman" w:eastAsia="Times New Roman" w:hAnsi="Times New Roman" w:cs="Times New Roman"/>
          <w:sz w:val="24"/>
          <w:szCs w:val="24"/>
        </w:rPr>
        <w:t xml:space="preserve"> apmērā</w:t>
      </w:r>
      <w:r w:rsidR="00892577">
        <w:rPr>
          <w:rFonts w:ascii="Times New Roman" w:eastAsia="Times New Roman" w:hAnsi="Times New Roman" w:cs="Times New Roman"/>
          <w:sz w:val="24"/>
          <w:szCs w:val="24"/>
        </w:rPr>
        <w:t xml:space="preserve"> (2021. – 2027.gadam)</w:t>
      </w:r>
      <w:r w:rsidRPr="006913F3">
        <w:rPr>
          <w:rFonts w:ascii="Times New Roman" w:eastAsia="Times New Roman" w:hAnsi="Times New Roman" w:cs="Times New Roman"/>
          <w:sz w:val="24"/>
          <w:szCs w:val="24"/>
        </w:rPr>
        <w:t>.</w:t>
      </w:r>
    </w:p>
    <w:p w14:paraId="475B53DF" w14:textId="2CB40C1D" w:rsidR="00F73CB3" w:rsidRPr="006913F3" w:rsidRDefault="00F73CB3" w:rsidP="00F73CB3">
      <w:pPr>
        <w:jc w:val="center"/>
        <w:rPr>
          <w:rFonts w:ascii="Times New Roman" w:eastAsia="Times New Roman" w:hAnsi="Times New Roman" w:cs="Times New Roman"/>
          <w:sz w:val="24"/>
          <w:szCs w:val="24"/>
          <w:shd w:val="clear" w:color="auto" w:fill="FF9900"/>
        </w:rPr>
      </w:pPr>
      <w:r w:rsidRPr="006913F3">
        <w:rPr>
          <w:rFonts w:ascii="Times New Roman" w:eastAsia="Times New Roman" w:hAnsi="Times New Roman" w:cs="Times New Roman"/>
          <w:noProof/>
          <w:sz w:val="28"/>
          <w:szCs w:val="24"/>
          <w:shd w:val="clear" w:color="auto" w:fill="FF9900"/>
          <w:lang w:val="en-GB" w:eastAsia="en-GB"/>
        </w:rPr>
        <w:lastRenderedPageBreak/>
        <w:drawing>
          <wp:inline distT="0" distB="0" distL="0" distR="0" wp14:anchorId="28ED8B60" wp14:editId="69BEE1BF">
            <wp:extent cx="5293995" cy="4368800"/>
            <wp:effectExtent l="0" t="0" r="1905"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CD5379" w14:textId="08E2DBCA" w:rsidR="00F73CB3" w:rsidRPr="00755FAE" w:rsidRDefault="00F73CB3" w:rsidP="00F73CB3">
      <w:pPr>
        <w:jc w:val="both"/>
        <w:rPr>
          <w:rFonts w:ascii="Times New Roman" w:eastAsia="Times New Roman" w:hAnsi="Times New Roman" w:cs="Times New Roman"/>
          <w:sz w:val="24"/>
          <w:szCs w:val="24"/>
        </w:rPr>
      </w:pPr>
      <w:r w:rsidRPr="00755FAE">
        <w:rPr>
          <w:rFonts w:ascii="Times New Roman" w:eastAsia="Times New Roman" w:hAnsi="Times New Roman" w:cs="Times New Roman"/>
          <w:b/>
          <w:sz w:val="24"/>
          <w:szCs w:val="24"/>
        </w:rPr>
        <w:t>3. attēls.</w:t>
      </w:r>
      <w:r w:rsidRPr="00755FAE">
        <w:rPr>
          <w:rFonts w:ascii="Times New Roman" w:eastAsia="Times New Roman" w:hAnsi="Times New Roman" w:cs="Times New Roman"/>
          <w:sz w:val="24"/>
          <w:szCs w:val="24"/>
        </w:rPr>
        <w:t xml:space="preserve"> Kopējais valsts finansējums zinātniski pētnieciskajam darbam un paredzēt</w:t>
      </w:r>
      <w:r w:rsidR="00E40D59">
        <w:rPr>
          <w:rFonts w:ascii="Times New Roman" w:eastAsia="Times New Roman" w:hAnsi="Times New Roman" w:cs="Times New Roman"/>
          <w:sz w:val="24"/>
          <w:szCs w:val="24"/>
        </w:rPr>
        <w:t xml:space="preserve">ie ieguldījumi </w:t>
      </w:r>
      <w:r w:rsidRPr="00755FAE">
        <w:rPr>
          <w:rFonts w:ascii="Times New Roman" w:eastAsia="Times New Roman" w:hAnsi="Times New Roman" w:cs="Times New Roman"/>
          <w:sz w:val="24"/>
          <w:szCs w:val="24"/>
        </w:rPr>
        <w:t xml:space="preserve">ZTAIP (milj. </w:t>
      </w:r>
      <w:r w:rsidRPr="00892577">
        <w:rPr>
          <w:rFonts w:ascii="Times New Roman" w:eastAsia="Times New Roman" w:hAnsi="Times New Roman" w:cs="Times New Roman"/>
          <w:i/>
          <w:sz w:val="24"/>
          <w:szCs w:val="24"/>
        </w:rPr>
        <w:t>e</w:t>
      </w:r>
      <w:r w:rsidR="00E40D59">
        <w:rPr>
          <w:rFonts w:ascii="Times New Roman" w:eastAsia="Times New Roman" w:hAnsi="Times New Roman" w:cs="Times New Roman"/>
          <w:i/>
          <w:sz w:val="24"/>
          <w:szCs w:val="24"/>
        </w:rPr>
        <w:t>u</w:t>
      </w:r>
      <w:r w:rsidRPr="00892577">
        <w:rPr>
          <w:rFonts w:ascii="Times New Roman" w:eastAsia="Times New Roman" w:hAnsi="Times New Roman" w:cs="Times New Roman"/>
          <w:i/>
          <w:sz w:val="24"/>
          <w:szCs w:val="24"/>
        </w:rPr>
        <w:t>ro</w:t>
      </w:r>
      <w:r w:rsidRPr="00755FAE">
        <w:rPr>
          <w:rFonts w:ascii="Times New Roman" w:eastAsia="Times New Roman" w:hAnsi="Times New Roman" w:cs="Times New Roman"/>
          <w:sz w:val="24"/>
          <w:szCs w:val="24"/>
        </w:rPr>
        <w:t>) (avots: CSP, IZM aprēķini)</w:t>
      </w:r>
    </w:p>
    <w:p w14:paraId="2F47BA7D" w14:textId="360F0CBA" w:rsidR="00CB3D28" w:rsidRDefault="00F73CB3" w:rsidP="00892577">
      <w:pPr>
        <w:spacing w:after="0" w:line="240" w:lineRule="auto"/>
        <w:ind w:firstLine="720"/>
        <w:jc w:val="both"/>
        <w:rPr>
          <w:rFonts w:ascii="Times New Roman" w:eastAsia="Times New Roman" w:hAnsi="Times New Roman" w:cs="Times New Roman"/>
          <w:sz w:val="24"/>
        </w:rPr>
      </w:pPr>
      <w:r w:rsidRPr="006913F3">
        <w:rPr>
          <w:rFonts w:ascii="Times New Roman" w:eastAsia="Times New Roman" w:hAnsi="Times New Roman" w:cs="Times New Roman"/>
          <w:sz w:val="24"/>
        </w:rPr>
        <w:t>ZTAIP</w:t>
      </w:r>
      <w:r w:rsidR="00892577">
        <w:rPr>
          <w:rFonts w:ascii="Times New Roman" w:eastAsia="Times New Roman" w:hAnsi="Times New Roman" w:cs="Times New Roman"/>
          <w:sz w:val="24"/>
        </w:rPr>
        <w:t xml:space="preserve">paredzētās investīcijas pētniecībā ļautu </w:t>
      </w:r>
      <w:r w:rsidRPr="006913F3">
        <w:rPr>
          <w:rFonts w:ascii="Times New Roman" w:eastAsia="Times New Roman" w:hAnsi="Times New Roman" w:cs="Times New Roman"/>
          <w:sz w:val="24"/>
        </w:rPr>
        <w:t>būtiski palielināt publiskā sektora P&amp;A kapacitāti un ir nepieciešam</w:t>
      </w:r>
      <w:r w:rsidR="00892577">
        <w:rPr>
          <w:rFonts w:ascii="Times New Roman" w:eastAsia="Times New Roman" w:hAnsi="Times New Roman" w:cs="Times New Roman"/>
          <w:sz w:val="24"/>
        </w:rPr>
        <w:t>as</w:t>
      </w:r>
      <w:r w:rsidRPr="006913F3">
        <w:rPr>
          <w:rFonts w:ascii="Times New Roman" w:eastAsia="Times New Roman" w:hAnsi="Times New Roman" w:cs="Times New Roman"/>
          <w:sz w:val="24"/>
        </w:rPr>
        <w:t>, lai izpildītu ZTAIP mērķi nodrošināt valsts budžeta finansējumu P&amp;A 0</w:t>
      </w:r>
      <w:r w:rsidR="00CD336F">
        <w:rPr>
          <w:rFonts w:ascii="Times New Roman" w:eastAsia="Times New Roman" w:hAnsi="Times New Roman" w:cs="Times New Roman"/>
          <w:sz w:val="24"/>
        </w:rPr>
        <w:t>,</w:t>
      </w:r>
      <w:r w:rsidRPr="006913F3">
        <w:rPr>
          <w:rFonts w:ascii="Times New Roman" w:eastAsia="Times New Roman" w:hAnsi="Times New Roman" w:cs="Times New Roman"/>
          <w:sz w:val="24"/>
        </w:rPr>
        <w:t xml:space="preserve">4 % apmērā no IKP. </w:t>
      </w:r>
      <w:r w:rsidR="00C323BF">
        <w:rPr>
          <w:rFonts w:ascii="Times New Roman" w:eastAsia="Times New Roman" w:hAnsi="Times New Roman" w:cs="Times New Roman"/>
          <w:sz w:val="24"/>
        </w:rPr>
        <w:t>Ministrija</w:t>
      </w:r>
      <w:r w:rsidRPr="006913F3">
        <w:rPr>
          <w:rFonts w:ascii="Times New Roman" w:eastAsia="Times New Roman" w:hAnsi="Times New Roman" w:cs="Times New Roman"/>
          <w:sz w:val="24"/>
        </w:rPr>
        <w:t xml:space="preserve"> gan norāda, ka </w:t>
      </w:r>
      <w:r w:rsidR="00CD336F" w:rsidRPr="006913F3">
        <w:rPr>
          <w:rFonts w:ascii="Times New Roman" w:eastAsia="Times New Roman" w:hAnsi="Times New Roman" w:cs="Times New Roman"/>
          <w:sz w:val="24"/>
        </w:rPr>
        <w:t>paredzēt</w:t>
      </w:r>
      <w:r w:rsidR="00CD336F">
        <w:rPr>
          <w:rFonts w:ascii="Times New Roman" w:eastAsia="Times New Roman" w:hAnsi="Times New Roman" w:cs="Times New Roman"/>
          <w:sz w:val="24"/>
        </w:rPr>
        <w:t>ie</w:t>
      </w:r>
      <w:r w:rsidR="00CD336F" w:rsidRPr="006913F3">
        <w:rPr>
          <w:rFonts w:ascii="Times New Roman" w:eastAsia="Times New Roman" w:hAnsi="Times New Roman" w:cs="Times New Roman"/>
          <w:sz w:val="24"/>
        </w:rPr>
        <w:t xml:space="preserve"> </w:t>
      </w:r>
      <w:r w:rsidR="00CD336F">
        <w:rPr>
          <w:rFonts w:ascii="Times New Roman" w:eastAsia="Times New Roman" w:hAnsi="Times New Roman" w:cs="Times New Roman"/>
          <w:sz w:val="24"/>
        </w:rPr>
        <w:t>ieguldījumi</w:t>
      </w:r>
      <w:r w:rsidR="00CD336F" w:rsidRPr="006913F3">
        <w:rPr>
          <w:rFonts w:ascii="Times New Roman" w:eastAsia="Times New Roman" w:hAnsi="Times New Roman" w:cs="Times New Roman"/>
          <w:sz w:val="24"/>
        </w:rPr>
        <w:t xml:space="preserve"> </w:t>
      </w:r>
      <w:r w:rsidRPr="006913F3">
        <w:rPr>
          <w:rFonts w:ascii="Times New Roman" w:eastAsia="Times New Roman" w:hAnsi="Times New Roman" w:cs="Times New Roman"/>
          <w:sz w:val="24"/>
        </w:rPr>
        <w:t xml:space="preserve">NAP/ZTAIP zinātnes finansējumam tikai daļēji ļaus nodrošināt plānošanās dokumentos paredzēto (4.attēls), kā arī </w:t>
      </w:r>
      <w:r w:rsidR="00C323BF">
        <w:rPr>
          <w:rFonts w:ascii="Times New Roman" w:eastAsia="Times New Roman" w:hAnsi="Times New Roman" w:cs="Times New Roman"/>
          <w:sz w:val="24"/>
        </w:rPr>
        <w:t>ministrija</w:t>
      </w:r>
      <w:r w:rsidRPr="006913F3">
        <w:rPr>
          <w:rFonts w:ascii="Times New Roman" w:eastAsia="Times New Roman" w:hAnsi="Times New Roman" w:cs="Times New Roman"/>
          <w:sz w:val="24"/>
        </w:rPr>
        <w:t xml:space="preserve"> norāda, ka mērķis sasniegt 0</w:t>
      </w:r>
      <w:r w:rsidR="00CD336F">
        <w:rPr>
          <w:rFonts w:ascii="Times New Roman" w:eastAsia="Times New Roman" w:hAnsi="Times New Roman" w:cs="Times New Roman"/>
          <w:sz w:val="24"/>
        </w:rPr>
        <w:t>,</w:t>
      </w:r>
      <w:r w:rsidRPr="006913F3">
        <w:rPr>
          <w:rFonts w:ascii="Times New Roman" w:eastAsia="Times New Roman" w:hAnsi="Times New Roman" w:cs="Times New Roman"/>
          <w:sz w:val="24"/>
        </w:rPr>
        <w:t xml:space="preserve">4 % valsts budžeta finansējumu P&amp;A uz pārējo ES valstu fona būtiski palīdzēs Latvijai palielināt zinātnes kapacitāti, taču joprojām ir tikai daļējs solis, lai samazinātu plaisu </w:t>
      </w:r>
      <w:r w:rsidR="001C27A3" w:rsidRPr="006913F3">
        <w:rPr>
          <w:rFonts w:ascii="Times New Roman" w:eastAsia="Times New Roman" w:hAnsi="Times New Roman" w:cs="Times New Roman"/>
          <w:sz w:val="24"/>
        </w:rPr>
        <w:t>ar ES-27 valstu vidējo līmeni</w:t>
      </w:r>
      <w:r w:rsidR="00755FAE">
        <w:rPr>
          <w:rFonts w:ascii="Times New Roman" w:eastAsia="Times New Roman" w:hAnsi="Times New Roman" w:cs="Times New Roman"/>
          <w:sz w:val="24"/>
        </w:rPr>
        <w:t>.</w:t>
      </w:r>
    </w:p>
    <w:p w14:paraId="26515E30" w14:textId="77777777" w:rsidR="00755FAE" w:rsidRPr="00755FAE" w:rsidRDefault="00755FAE" w:rsidP="00892577">
      <w:pPr>
        <w:spacing w:after="0" w:line="240" w:lineRule="auto"/>
        <w:ind w:firstLine="720"/>
        <w:jc w:val="both"/>
        <w:rPr>
          <w:rFonts w:ascii="Times New Roman" w:eastAsia="Times New Roman" w:hAnsi="Times New Roman" w:cs="Times New Roman"/>
          <w:sz w:val="24"/>
        </w:rPr>
      </w:pPr>
    </w:p>
    <w:p w14:paraId="570E0F12" w14:textId="00CFF4BC" w:rsidR="00E13E38" w:rsidRDefault="00DD3A5B" w:rsidP="008925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7B1389" w:rsidRPr="006913F3">
        <w:rPr>
          <w:rFonts w:ascii="Times New Roman" w:hAnsi="Times New Roman" w:cs="Times New Roman"/>
          <w:b/>
          <w:sz w:val="24"/>
          <w:szCs w:val="24"/>
        </w:rPr>
        <w:t>Zinātnes bāzes finansējums</w:t>
      </w:r>
    </w:p>
    <w:p w14:paraId="12D5280A" w14:textId="77777777" w:rsidR="00C72F0C" w:rsidRPr="006913F3" w:rsidRDefault="00C72F0C" w:rsidP="00892577">
      <w:pPr>
        <w:spacing w:after="0" w:line="240" w:lineRule="auto"/>
        <w:jc w:val="center"/>
        <w:rPr>
          <w:rFonts w:ascii="Times New Roman" w:hAnsi="Times New Roman" w:cs="Times New Roman"/>
          <w:b/>
          <w:sz w:val="24"/>
          <w:szCs w:val="24"/>
        </w:rPr>
      </w:pPr>
    </w:p>
    <w:p w14:paraId="121362A4" w14:textId="7A67FD21" w:rsidR="008A7BBE" w:rsidRPr="006913F3" w:rsidRDefault="008A7BBE"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Zinātnes bāzes finansējums ir lielākā v</w:t>
      </w:r>
      <w:r w:rsidR="001C27A3" w:rsidRPr="006913F3">
        <w:rPr>
          <w:rFonts w:ascii="Times New Roman" w:hAnsi="Times New Roman" w:cs="Times New Roman"/>
          <w:sz w:val="24"/>
          <w:szCs w:val="24"/>
        </w:rPr>
        <w:t xml:space="preserve">alsts budžeta </w:t>
      </w:r>
      <w:r w:rsidR="00892577">
        <w:rPr>
          <w:rFonts w:ascii="Times New Roman" w:hAnsi="Times New Roman" w:cs="Times New Roman"/>
          <w:sz w:val="24"/>
          <w:szCs w:val="24"/>
        </w:rPr>
        <w:t>apakš</w:t>
      </w:r>
      <w:r w:rsidR="001C27A3" w:rsidRPr="006913F3">
        <w:rPr>
          <w:rFonts w:ascii="Times New Roman" w:hAnsi="Times New Roman" w:cs="Times New Roman"/>
          <w:sz w:val="24"/>
          <w:szCs w:val="24"/>
        </w:rPr>
        <w:t>programma</w:t>
      </w:r>
      <w:r w:rsidR="00892577">
        <w:rPr>
          <w:rStyle w:val="FootnoteReference"/>
          <w:rFonts w:ascii="Times New Roman" w:hAnsi="Times New Roman" w:cs="Times New Roman"/>
          <w:sz w:val="24"/>
          <w:szCs w:val="24"/>
        </w:rPr>
        <w:footnoteReference w:id="14"/>
      </w:r>
      <w:r w:rsidR="001C27A3" w:rsidRPr="006913F3">
        <w:rPr>
          <w:rFonts w:ascii="Times New Roman" w:hAnsi="Times New Roman" w:cs="Times New Roman"/>
          <w:sz w:val="24"/>
          <w:szCs w:val="24"/>
        </w:rPr>
        <w:t xml:space="preserve"> zinātnē, </w:t>
      </w:r>
      <w:r w:rsidRPr="006913F3">
        <w:rPr>
          <w:rFonts w:ascii="Times New Roman" w:hAnsi="Times New Roman" w:cs="Times New Roman"/>
          <w:sz w:val="24"/>
          <w:szCs w:val="24"/>
        </w:rPr>
        <w:t xml:space="preserve">un zinātniskajām </w:t>
      </w:r>
      <w:r w:rsidRPr="00277DB6">
        <w:rPr>
          <w:rFonts w:ascii="Times New Roman" w:hAnsi="Times New Roman" w:cs="Times New Roman"/>
          <w:sz w:val="24"/>
          <w:szCs w:val="24"/>
        </w:rPr>
        <w:t>institūcijām bāzes finansējumu piešķir to dibinātājs. Valsts zinātniskajiem institūtiem</w:t>
      </w:r>
      <w:r w:rsidR="00FB1315" w:rsidRPr="00277DB6">
        <w:rPr>
          <w:rFonts w:ascii="Times New Roman" w:hAnsi="Times New Roman" w:cs="Times New Roman"/>
          <w:sz w:val="24"/>
          <w:szCs w:val="24"/>
        </w:rPr>
        <w:t xml:space="preserve"> -</w:t>
      </w:r>
      <w:r w:rsidR="00FB1315" w:rsidRPr="003D3331">
        <w:rPr>
          <w:rFonts w:ascii="Times New Roman" w:hAnsi="Times New Roman" w:cs="Times New Roman"/>
        </w:rPr>
        <w:t xml:space="preserve"> atvasinātām publiskām personām</w:t>
      </w:r>
      <w:r w:rsidRPr="00277DB6">
        <w:rPr>
          <w:rFonts w:ascii="Times New Roman" w:hAnsi="Times New Roman" w:cs="Times New Roman"/>
          <w:sz w:val="24"/>
          <w:szCs w:val="24"/>
        </w:rPr>
        <w:t>, valsts augstskolām un valsts augstskolu zinātniskajiem institūtiem</w:t>
      </w:r>
      <w:r w:rsidR="00FB1315" w:rsidRPr="003D3331">
        <w:rPr>
          <w:rFonts w:ascii="Times New Roman" w:hAnsi="Times New Roman" w:cs="Times New Roman"/>
        </w:rPr>
        <w:t xml:space="preserve"> - atvasinātām publiskām personām</w:t>
      </w:r>
      <w:r w:rsidRPr="00277DB6">
        <w:rPr>
          <w:rFonts w:ascii="Times New Roman" w:hAnsi="Times New Roman" w:cs="Times New Roman"/>
          <w:sz w:val="24"/>
          <w:szCs w:val="24"/>
        </w:rPr>
        <w:t xml:space="preserve"> , kas reģistrētas reģistrā, zinātniskās darbības bāzes Ministru kabineta 2013.g</w:t>
      </w:r>
      <w:r w:rsidR="00DD3A5B" w:rsidRPr="00277DB6">
        <w:rPr>
          <w:rFonts w:ascii="Times New Roman" w:hAnsi="Times New Roman" w:cs="Times New Roman"/>
          <w:sz w:val="24"/>
          <w:szCs w:val="24"/>
        </w:rPr>
        <w:t xml:space="preserve"> </w:t>
      </w:r>
      <w:r w:rsidRPr="00277DB6">
        <w:rPr>
          <w:rFonts w:ascii="Times New Roman" w:hAnsi="Times New Roman" w:cs="Times New Roman"/>
          <w:sz w:val="24"/>
          <w:szCs w:val="24"/>
        </w:rPr>
        <w:t>ada 12.</w:t>
      </w:r>
      <w:r w:rsidR="00DD3A5B" w:rsidRPr="00277DB6">
        <w:rPr>
          <w:rFonts w:ascii="Times New Roman" w:hAnsi="Times New Roman" w:cs="Times New Roman"/>
          <w:sz w:val="24"/>
          <w:szCs w:val="24"/>
        </w:rPr>
        <w:t xml:space="preserve"> </w:t>
      </w:r>
      <w:r w:rsidRPr="00277DB6">
        <w:rPr>
          <w:rFonts w:ascii="Times New Roman" w:hAnsi="Times New Roman" w:cs="Times New Roman"/>
          <w:sz w:val="24"/>
          <w:szCs w:val="24"/>
        </w:rPr>
        <w:t>novembra noteikum</w:t>
      </w:r>
      <w:r w:rsidR="00FB1315" w:rsidRPr="00277DB6">
        <w:rPr>
          <w:rFonts w:ascii="Times New Roman" w:hAnsi="Times New Roman" w:cs="Times New Roman"/>
          <w:sz w:val="24"/>
          <w:szCs w:val="24"/>
        </w:rPr>
        <w:t>iem</w:t>
      </w:r>
      <w:r w:rsidRPr="00277DB6">
        <w:rPr>
          <w:rFonts w:ascii="Times New Roman" w:hAnsi="Times New Roman" w:cs="Times New Roman"/>
          <w:sz w:val="24"/>
          <w:szCs w:val="24"/>
        </w:rPr>
        <w:t xml:space="preserve"> Nr.</w:t>
      </w:r>
      <w:r w:rsidR="00DD3A5B" w:rsidRPr="00277DB6">
        <w:rPr>
          <w:rFonts w:ascii="Times New Roman" w:hAnsi="Times New Roman" w:cs="Times New Roman"/>
          <w:sz w:val="24"/>
          <w:szCs w:val="24"/>
        </w:rPr>
        <w:t xml:space="preserve"> </w:t>
      </w:r>
      <w:r w:rsidRPr="00277DB6">
        <w:rPr>
          <w:rFonts w:ascii="Times New Roman" w:hAnsi="Times New Roman" w:cs="Times New Roman"/>
          <w:sz w:val="24"/>
          <w:szCs w:val="24"/>
        </w:rPr>
        <w:t>1316</w:t>
      </w:r>
      <w:r w:rsidRPr="006913F3">
        <w:rPr>
          <w:rFonts w:ascii="Times New Roman" w:hAnsi="Times New Roman" w:cs="Times New Roman"/>
          <w:sz w:val="24"/>
          <w:szCs w:val="24"/>
        </w:rPr>
        <w:t xml:space="preserve"> “Kārtība, kādā aprēķina un piešķir bāzes finansēj</w:t>
      </w:r>
      <w:r w:rsidR="00E13E38" w:rsidRPr="006913F3">
        <w:rPr>
          <w:rFonts w:ascii="Times New Roman" w:hAnsi="Times New Roman" w:cs="Times New Roman"/>
          <w:sz w:val="24"/>
          <w:szCs w:val="24"/>
        </w:rPr>
        <w:t>umu zinātniskajām institūcijām”</w:t>
      </w:r>
      <w:r w:rsidR="001C27A3" w:rsidRPr="006913F3">
        <w:rPr>
          <w:rFonts w:ascii="Times New Roman" w:hAnsi="Times New Roman" w:cs="Times New Roman"/>
          <w:sz w:val="24"/>
          <w:szCs w:val="24"/>
        </w:rPr>
        <w:t>.</w:t>
      </w:r>
    </w:p>
    <w:p w14:paraId="1EAFE805" w14:textId="41513330" w:rsidR="008A7BBE" w:rsidRPr="006913F3" w:rsidRDefault="008A7BBE"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Zinātnes bāzes finansējumu zinātniskās institūcijas izmanto</w:t>
      </w:r>
      <w:r w:rsidR="00892577">
        <w:rPr>
          <w:rStyle w:val="FootnoteReference"/>
          <w:rFonts w:ascii="Times New Roman" w:hAnsi="Times New Roman" w:cs="Times New Roman"/>
          <w:sz w:val="24"/>
          <w:szCs w:val="24"/>
        </w:rPr>
        <w:footnoteReference w:id="15"/>
      </w:r>
      <w:r w:rsidRPr="006913F3">
        <w:rPr>
          <w:rFonts w:ascii="Times New Roman" w:hAnsi="Times New Roman" w:cs="Times New Roman"/>
          <w:sz w:val="24"/>
          <w:szCs w:val="24"/>
        </w:rPr>
        <w:t>:</w:t>
      </w:r>
    </w:p>
    <w:p w14:paraId="5D64C315" w14:textId="5B4DAA31" w:rsidR="008A7BBE" w:rsidRPr="006913F3" w:rsidRDefault="00FB1315" w:rsidP="0089257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A7BBE" w:rsidRPr="006913F3">
        <w:rPr>
          <w:rFonts w:ascii="Times New Roman" w:hAnsi="Times New Roman" w:cs="Times New Roman"/>
          <w:sz w:val="24"/>
          <w:szCs w:val="24"/>
        </w:rPr>
        <w:t>zinātniskā personāla atlīdzībai;</w:t>
      </w:r>
    </w:p>
    <w:p w14:paraId="7D9CF077" w14:textId="63DE9FDB" w:rsidR="008A7BBE" w:rsidRPr="006913F3" w:rsidRDefault="00FB1315" w:rsidP="0089257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A7BBE" w:rsidRPr="006913F3">
        <w:rPr>
          <w:rFonts w:ascii="Times New Roman" w:hAnsi="Times New Roman" w:cs="Times New Roman"/>
          <w:sz w:val="24"/>
          <w:szCs w:val="24"/>
        </w:rPr>
        <w:t>zinātniskās institūcijas administratīvo un saimniecisko izdevumu segšanai;</w:t>
      </w:r>
    </w:p>
    <w:p w14:paraId="08C1FE65" w14:textId="5152B415" w:rsidR="008A7BBE" w:rsidRPr="006913F3" w:rsidRDefault="00FB1315" w:rsidP="0089257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A7BBE" w:rsidRPr="006913F3">
        <w:rPr>
          <w:rFonts w:ascii="Times New Roman" w:hAnsi="Times New Roman" w:cs="Times New Roman"/>
          <w:sz w:val="24"/>
          <w:szCs w:val="24"/>
        </w:rPr>
        <w:t>zinātniskās institūcijas darbības stratēģijā noteikto mērķu sasniegšanai, tai skaitā izgudrojumu patentēšanai, uzturēšanai spēkā, jaunu augu šķirņu reģistrēšanai un to izmantošanas tiesību aizsardzībai, saimnieciskās izmantošanas (komercializācijas) sagatavošanai;</w:t>
      </w:r>
    </w:p>
    <w:p w14:paraId="1549113B" w14:textId="58D9702F" w:rsidR="008A7BBE" w:rsidRPr="006913F3" w:rsidRDefault="00FB1315" w:rsidP="0089257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A7BBE" w:rsidRPr="006913F3">
        <w:rPr>
          <w:rFonts w:ascii="Times New Roman" w:hAnsi="Times New Roman" w:cs="Times New Roman"/>
          <w:sz w:val="24"/>
          <w:szCs w:val="24"/>
        </w:rPr>
        <w:t>Eiropas Savienības struktūrfondu, citu ārvalstu un starptautisko finanšu instrumentu un starptautisko zinātnisko pētījumu projektu līdzfinansējumam.</w:t>
      </w:r>
    </w:p>
    <w:p w14:paraId="184A8A05" w14:textId="4E161423" w:rsidR="008A7BBE" w:rsidRPr="006913F3" w:rsidRDefault="008A7BBE"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Lai saņemtu ikgadējo zinātnes bāzes finansējumu, zinātniskajai institūcijai līdz kārtējā</w:t>
      </w:r>
      <w:r w:rsidR="00BD3DF8" w:rsidRPr="006913F3">
        <w:rPr>
          <w:rFonts w:ascii="Times New Roman" w:hAnsi="Times New Roman" w:cs="Times New Roman"/>
          <w:sz w:val="24"/>
          <w:szCs w:val="24"/>
        </w:rPr>
        <w:t xml:space="preserve"> finansēšanas perioda 1.</w:t>
      </w:r>
      <w:r w:rsidR="00DD3A5B">
        <w:rPr>
          <w:rFonts w:ascii="Times New Roman" w:hAnsi="Times New Roman" w:cs="Times New Roman"/>
          <w:sz w:val="24"/>
          <w:szCs w:val="24"/>
        </w:rPr>
        <w:t xml:space="preserve"> </w:t>
      </w:r>
      <w:r w:rsidR="00BD3DF8" w:rsidRPr="006913F3">
        <w:rPr>
          <w:rFonts w:ascii="Times New Roman" w:hAnsi="Times New Roman" w:cs="Times New Roman"/>
          <w:sz w:val="24"/>
          <w:szCs w:val="24"/>
        </w:rPr>
        <w:t>aprīlim</w:t>
      </w:r>
      <w:r w:rsidRPr="006913F3">
        <w:rPr>
          <w:rFonts w:ascii="Times New Roman" w:hAnsi="Times New Roman" w:cs="Times New Roman"/>
          <w:sz w:val="24"/>
          <w:szCs w:val="24"/>
        </w:rPr>
        <w:t xml:space="preserve"> ministrijā un attiecīgās nozares ministrijā ir jāiesniedz informācija, kas sagatavota</w:t>
      </w:r>
      <w:r w:rsidR="00892577">
        <w:rPr>
          <w:rFonts w:ascii="Times New Roman" w:hAnsi="Times New Roman" w:cs="Times New Roman"/>
          <w:sz w:val="24"/>
          <w:szCs w:val="24"/>
        </w:rPr>
        <w:t xml:space="preserve"> un pēc tam auditēta</w:t>
      </w:r>
      <w:r w:rsidRPr="006913F3">
        <w:rPr>
          <w:rFonts w:ascii="Times New Roman" w:hAnsi="Times New Roman" w:cs="Times New Roman"/>
          <w:sz w:val="24"/>
          <w:szCs w:val="24"/>
        </w:rPr>
        <w:t>, ņemot vērā ministrijas sagatavotās vadlīnijas</w:t>
      </w:r>
      <w:r w:rsidR="00892577">
        <w:rPr>
          <w:rStyle w:val="FootnoteReference"/>
          <w:rFonts w:ascii="Times New Roman" w:hAnsi="Times New Roman" w:cs="Times New Roman"/>
          <w:sz w:val="24"/>
          <w:szCs w:val="24"/>
        </w:rPr>
        <w:footnoteReference w:id="16"/>
      </w:r>
      <w:r w:rsidRPr="006913F3">
        <w:rPr>
          <w:rFonts w:ascii="Times New Roman" w:hAnsi="Times New Roman" w:cs="Times New Roman"/>
          <w:sz w:val="24"/>
          <w:szCs w:val="24"/>
        </w:rPr>
        <w:t xml:space="preserve">. Zinātniskajām institūcijām, kuras saņem </w:t>
      </w:r>
      <w:r w:rsidR="00FB1315">
        <w:rPr>
          <w:rFonts w:ascii="Times New Roman" w:hAnsi="Times New Roman" w:cs="Times New Roman"/>
          <w:sz w:val="24"/>
          <w:szCs w:val="24"/>
        </w:rPr>
        <w:t xml:space="preserve">zinatnes </w:t>
      </w:r>
      <w:r w:rsidRPr="006913F3">
        <w:rPr>
          <w:rFonts w:ascii="Times New Roman" w:hAnsi="Times New Roman" w:cs="Times New Roman"/>
          <w:sz w:val="24"/>
          <w:szCs w:val="24"/>
        </w:rPr>
        <w:t xml:space="preserve">bāzes finansējumu, ik pēc sešiem gadiem jāsaņem to </w:t>
      </w:r>
      <w:r w:rsidR="00FB1315">
        <w:rPr>
          <w:rFonts w:ascii="Times New Roman" w:hAnsi="Times New Roman" w:cs="Times New Roman"/>
          <w:sz w:val="24"/>
          <w:szCs w:val="24"/>
        </w:rPr>
        <w:t xml:space="preserve">zinātniskās </w:t>
      </w:r>
      <w:r w:rsidRPr="006913F3">
        <w:rPr>
          <w:rFonts w:ascii="Times New Roman" w:hAnsi="Times New Roman" w:cs="Times New Roman"/>
          <w:sz w:val="24"/>
          <w:szCs w:val="24"/>
        </w:rPr>
        <w:t xml:space="preserve">darbības starptautiskais </w:t>
      </w:r>
      <w:r w:rsidR="003B6A49">
        <w:rPr>
          <w:rFonts w:ascii="Times New Roman" w:hAnsi="Times New Roman" w:cs="Times New Roman"/>
          <w:sz w:val="24"/>
          <w:szCs w:val="24"/>
        </w:rPr>
        <w:t>novērtējums.</w:t>
      </w:r>
    </w:p>
    <w:p w14:paraId="0B0C2B85" w14:textId="77777777" w:rsidR="00DC70E7" w:rsidRDefault="00DC70E7" w:rsidP="00892577">
      <w:pPr>
        <w:spacing w:after="0" w:line="240" w:lineRule="auto"/>
        <w:ind w:firstLine="720"/>
        <w:jc w:val="both"/>
        <w:rPr>
          <w:rFonts w:ascii="Times New Roman" w:eastAsia="Calibri" w:hAnsi="Times New Roman" w:cs="Times New Roman"/>
          <w:b/>
          <w:sz w:val="24"/>
          <w:szCs w:val="24"/>
        </w:rPr>
      </w:pPr>
    </w:p>
    <w:p w14:paraId="3AE85EEE" w14:textId="0B0BA469" w:rsidR="00CB3D28" w:rsidRPr="006913F3" w:rsidRDefault="00CB3D28" w:rsidP="00892577">
      <w:pPr>
        <w:spacing w:after="0" w:line="240" w:lineRule="auto"/>
        <w:jc w:val="both"/>
        <w:rPr>
          <w:rFonts w:ascii="Times New Roman" w:eastAsia="Calibri" w:hAnsi="Times New Roman" w:cs="Times New Roman"/>
          <w:sz w:val="24"/>
          <w:szCs w:val="24"/>
        </w:rPr>
      </w:pPr>
      <w:r w:rsidRPr="006913F3">
        <w:rPr>
          <w:rFonts w:ascii="Times New Roman" w:eastAsia="Calibri" w:hAnsi="Times New Roman" w:cs="Times New Roman"/>
          <w:b/>
          <w:sz w:val="24"/>
          <w:szCs w:val="24"/>
        </w:rPr>
        <w:t>Zinātnes bāzes finansējums kā instruments kalpo kā stabilitātes pamats zinātniskajām institūcijām</w:t>
      </w:r>
      <w:r w:rsidRPr="006913F3">
        <w:rPr>
          <w:rFonts w:ascii="Times New Roman" w:eastAsia="Calibri" w:hAnsi="Times New Roman" w:cs="Times New Roman"/>
          <w:sz w:val="24"/>
          <w:szCs w:val="24"/>
        </w:rPr>
        <w:t>, kas ir nepieciešams tālāku zinātniskās darbības rezultātu radīšanai (</w:t>
      </w:r>
      <w:r w:rsidR="007B1389" w:rsidRPr="006913F3">
        <w:rPr>
          <w:rFonts w:ascii="Times New Roman" w:eastAsia="Calibri" w:hAnsi="Times New Roman" w:cs="Times New Roman"/>
          <w:sz w:val="24"/>
          <w:szCs w:val="24"/>
        </w:rPr>
        <w:t xml:space="preserve">vērsti gan </w:t>
      </w:r>
      <w:r w:rsidR="00BD3DF8" w:rsidRPr="006913F3">
        <w:rPr>
          <w:rFonts w:ascii="Times New Roman" w:eastAsia="Calibri" w:hAnsi="Times New Roman" w:cs="Times New Roman"/>
          <w:sz w:val="24"/>
          <w:szCs w:val="24"/>
        </w:rPr>
        <w:t xml:space="preserve">uz </w:t>
      </w:r>
      <w:r w:rsidR="007B1389" w:rsidRPr="006913F3">
        <w:rPr>
          <w:rFonts w:ascii="Times New Roman" w:eastAsia="Calibri" w:hAnsi="Times New Roman" w:cs="Times New Roman"/>
          <w:sz w:val="24"/>
          <w:szCs w:val="24"/>
        </w:rPr>
        <w:t>šo rezultātu tālāku</w:t>
      </w:r>
      <w:r w:rsidRPr="006913F3">
        <w:rPr>
          <w:rFonts w:ascii="Times New Roman" w:eastAsia="Calibri" w:hAnsi="Times New Roman" w:cs="Times New Roman"/>
          <w:sz w:val="24"/>
          <w:szCs w:val="24"/>
        </w:rPr>
        <w:t xml:space="preserve"> komercializāciju, gan </w:t>
      </w:r>
      <w:r w:rsidR="007B1389" w:rsidRPr="006913F3">
        <w:rPr>
          <w:rFonts w:ascii="Times New Roman" w:eastAsia="Calibri" w:hAnsi="Times New Roman" w:cs="Times New Roman"/>
          <w:sz w:val="24"/>
          <w:szCs w:val="24"/>
        </w:rPr>
        <w:t>uz zinātnes izcilības veicināšanu</w:t>
      </w:r>
      <w:r w:rsidRPr="006913F3">
        <w:rPr>
          <w:rFonts w:ascii="Times New Roman" w:eastAsia="Calibri" w:hAnsi="Times New Roman" w:cs="Times New Roman"/>
          <w:sz w:val="24"/>
          <w:szCs w:val="24"/>
        </w:rPr>
        <w:t xml:space="preserve">), tajā skaitā jaunu zinātnes virzienu attīstīšanai, kuri sākotnēji prasa </w:t>
      </w:r>
      <w:r w:rsidR="007B1389" w:rsidRPr="006913F3">
        <w:rPr>
          <w:rFonts w:ascii="Times New Roman" w:eastAsia="Calibri" w:hAnsi="Times New Roman" w:cs="Times New Roman"/>
          <w:sz w:val="24"/>
          <w:szCs w:val="24"/>
        </w:rPr>
        <w:t>intensīvus</w:t>
      </w:r>
      <w:r w:rsidR="00892577">
        <w:rPr>
          <w:rFonts w:ascii="Times New Roman" w:eastAsia="Calibri" w:hAnsi="Times New Roman" w:cs="Times New Roman"/>
          <w:sz w:val="24"/>
          <w:szCs w:val="24"/>
        </w:rPr>
        <w:t xml:space="preserve"> cilvēku un materiālo resursu</w:t>
      </w:r>
      <w:r w:rsidRPr="006913F3">
        <w:rPr>
          <w:rFonts w:ascii="Times New Roman" w:eastAsia="Calibri" w:hAnsi="Times New Roman" w:cs="Times New Roman"/>
          <w:sz w:val="24"/>
          <w:szCs w:val="24"/>
        </w:rPr>
        <w:t xml:space="preserve"> ieguldījumus. Par šī finansējuma izlietojumu iestādes iekšienē atbildīga ir pati iestāde</w:t>
      </w:r>
      <w:r w:rsidR="007B1389" w:rsidRPr="006913F3">
        <w:rPr>
          <w:rFonts w:ascii="Times New Roman" w:eastAsia="Calibri" w:hAnsi="Times New Roman" w:cs="Times New Roman"/>
          <w:sz w:val="24"/>
          <w:szCs w:val="24"/>
        </w:rPr>
        <w:t>, taču ministrija pasūta auditu šī izlietojuma atbilstībai normatīvajam regulējumam</w:t>
      </w:r>
      <w:r w:rsidR="00892577">
        <w:rPr>
          <w:rFonts w:ascii="Times New Roman" w:eastAsia="Calibri" w:hAnsi="Times New Roman" w:cs="Times New Roman"/>
          <w:sz w:val="24"/>
          <w:szCs w:val="24"/>
        </w:rPr>
        <w:t xml:space="preserve"> un ministrijas sagatavojām vadlīnijām</w:t>
      </w:r>
      <w:r w:rsidR="007B1389" w:rsidRPr="006913F3">
        <w:rPr>
          <w:rFonts w:ascii="Times New Roman" w:eastAsia="Calibri" w:hAnsi="Times New Roman" w:cs="Times New Roman"/>
          <w:sz w:val="24"/>
          <w:szCs w:val="24"/>
        </w:rPr>
        <w:t>.</w:t>
      </w:r>
    </w:p>
    <w:p w14:paraId="20FF07EB" w14:textId="77777777" w:rsidR="00CB3D28" w:rsidRPr="006913F3" w:rsidRDefault="00CB3D28" w:rsidP="00892577">
      <w:pPr>
        <w:spacing w:after="0" w:line="240" w:lineRule="auto"/>
        <w:jc w:val="both"/>
        <w:rPr>
          <w:rFonts w:ascii="Times New Roman" w:eastAsia="Calibri" w:hAnsi="Times New Roman" w:cs="Times New Roman"/>
          <w:sz w:val="24"/>
          <w:szCs w:val="24"/>
        </w:rPr>
      </w:pPr>
    </w:p>
    <w:p w14:paraId="1F3F1C9D" w14:textId="778B7383" w:rsidR="00CB3D28" w:rsidRPr="006913F3" w:rsidRDefault="00CB3D28" w:rsidP="00892577">
      <w:pPr>
        <w:spacing w:after="0" w:line="240" w:lineRule="auto"/>
        <w:ind w:firstLine="720"/>
        <w:jc w:val="both"/>
        <w:rPr>
          <w:rFonts w:ascii="Times New Roman" w:eastAsia="Calibri" w:hAnsi="Times New Roman" w:cs="Times New Roman"/>
          <w:sz w:val="24"/>
          <w:szCs w:val="24"/>
        </w:rPr>
      </w:pPr>
      <w:r w:rsidRPr="006913F3">
        <w:rPr>
          <w:rFonts w:ascii="Times New Roman" w:eastAsia="Calibri" w:hAnsi="Times New Roman" w:cs="Times New Roman"/>
          <w:sz w:val="24"/>
          <w:szCs w:val="24"/>
        </w:rPr>
        <w:t xml:space="preserve">Pie nepietiekama </w:t>
      </w:r>
      <w:r w:rsidR="00FB1315" w:rsidRPr="006913F3">
        <w:rPr>
          <w:rFonts w:ascii="Times New Roman" w:hAnsi="Times New Roman" w:cs="Times New Roman"/>
          <w:sz w:val="24"/>
          <w:szCs w:val="24"/>
        </w:rPr>
        <w:t xml:space="preserve">Zinātnes bāzes </w:t>
      </w:r>
      <w:r w:rsidRPr="006913F3">
        <w:rPr>
          <w:rFonts w:ascii="Times New Roman" w:eastAsia="Calibri" w:hAnsi="Times New Roman" w:cs="Times New Roman"/>
          <w:sz w:val="24"/>
          <w:szCs w:val="24"/>
        </w:rPr>
        <w:t>finansējuma (</w:t>
      </w:r>
      <w:r w:rsidR="00892577">
        <w:rPr>
          <w:rFonts w:ascii="Times New Roman" w:eastAsia="Calibri" w:hAnsi="Times New Roman" w:cs="Times New Roman"/>
          <w:sz w:val="24"/>
          <w:szCs w:val="24"/>
        </w:rPr>
        <w:t>t.sk 2021.gadā</w:t>
      </w:r>
      <w:r w:rsidRPr="006913F3">
        <w:rPr>
          <w:rFonts w:ascii="Times New Roman" w:eastAsia="Calibri" w:hAnsi="Times New Roman" w:cs="Times New Roman"/>
          <w:sz w:val="24"/>
          <w:szCs w:val="24"/>
        </w:rPr>
        <w:t xml:space="preserve">) </w:t>
      </w:r>
      <w:r w:rsidR="00DC70E7">
        <w:rPr>
          <w:rFonts w:ascii="Times New Roman" w:eastAsia="Calibri" w:hAnsi="Times New Roman" w:cs="Times New Roman"/>
          <w:sz w:val="24"/>
          <w:szCs w:val="24"/>
        </w:rPr>
        <w:t xml:space="preserve">zinātnisko </w:t>
      </w:r>
      <w:r w:rsidR="007B1389" w:rsidRPr="006913F3">
        <w:rPr>
          <w:rFonts w:ascii="Times New Roman" w:eastAsia="Calibri" w:hAnsi="Times New Roman" w:cs="Times New Roman"/>
          <w:sz w:val="24"/>
          <w:szCs w:val="24"/>
        </w:rPr>
        <w:t xml:space="preserve">institūciju ietvaros </w:t>
      </w:r>
      <w:r w:rsidRPr="006913F3">
        <w:rPr>
          <w:rFonts w:ascii="Times New Roman" w:eastAsia="Calibri" w:hAnsi="Times New Roman" w:cs="Times New Roman"/>
          <w:sz w:val="24"/>
          <w:szCs w:val="24"/>
        </w:rPr>
        <w:t>tiek taupīts uz tām izmaksām, kur tas ir iespējams (</w:t>
      </w:r>
      <w:r w:rsidR="00DC70E7">
        <w:rPr>
          <w:rFonts w:ascii="Times New Roman" w:eastAsia="Calibri" w:hAnsi="Times New Roman" w:cs="Times New Roman"/>
          <w:sz w:val="24"/>
          <w:szCs w:val="24"/>
        </w:rPr>
        <w:t xml:space="preserve">piemeram, </w:t>
      </w:r>
      <w:r w:rsidR="007B1389" w:rsidRPr="006913F3">
        <w:rPr>
          <w:rFonts w:ascii="Times New Roman" w:eastAsia="Calibri" w:hAnsi="Times New Roman" w:cs="Times New Roman"/>
          <w:sz w:val="24"/>
          <w:szCs w:val="24"/>
        </w:rPr>
        <w:t>ieguldījum</w:t>
      </w:r>
      <w:r w:rsidR="00892577">
        <w:rPr>
          <w:rFonts w:ascii="Times New Roman" w:eastAsia="Calibri" w:hAnsi="Times New Roman" w:cs="Times New Roman"/>
          <w:sz w:val="24"/>
          <w:szCs w:val="24"/>
        </w:rPr>
        <w:t>os</w:t>
      </w:r>
      <w:r w:rsidR="00DC70E7">
        <w:rPr>
          <w:rFonts w:ascii="Times New Roman" w:eastAsia="Calibri" w:hAnsi="Times New Roman" w:cs="Times New Roman"/>
          <w:sz w:val="24"/>
          <w:szCs w:val="24"/>
        </w:rPr>
        <w:t xml:space="preserve"> zinatniskās</w:t>
      </w:r>
      <w:r w:rsidR="007B1389" w:rsidRPr="006913F3">
        <w:rPr>
          <w:rFonts w:ascii="Times New Roman" w:eastAsia="Calibri" w:hAnsi="Times New Roman" w:cs="Times New Roman"/>
          <w:sz w:val="24"/>
          <w:szCs w:val="24"/>
        </w:rPr>
        <w:t xml:space="preserve"> institūcijas attīstībā, tajā skaitā jaunu virzienu attīstīšanā, </w:t>
      </w:r>
      <w:r w:rsidR="00892577">
        <w:rPr>
          <w:rFonts w:ascii="Times New Roman" w:eastAsia="Calibri" w:hAnsi="Times New Roman" w:cs="Times New Roman"/>
          <w:sz w:val="24"/>
          <w:szCs w:val="24"/>
        </w:rPr>
        <w:t xml:space="preserve">institucionālā </w:t>
      </w:r>
      <w:r w:rsidR="007B1389" w:rsidRPr="006913F3">
        <w:rPr>
          <w:rFonts w:ascii="Times New Roman" w:eastAsia="Calibri" w:hAnsi="Times New Roman" w:cs="Times New Roman"/>
          <w:sz w:val="24"/>
          <w:szCs w:val="24"/>
        </w:rPr>
        <w:t>līdzfinansējuma nodrošināšanai dažādos P&amp;A projektos</w:t>
      </w:r>
      <w:r w:rsidRPr="006913F3">
        <w:rPr>
          <w:rFonts w:ascii="Times New Roman" w:eastAsia="Calibri" w:hAnsi="Times New Roman" w:cs="Times New Roman"/>
          <w:sz w:val="24"/>
          <w:szCs w:val="24"/>
        </w:rPr>
        <w:t xml:space="preserve">), šo finansējumu izlietojot pamatā tikai </w:t>
      </w:r>
      <w:r w:rsidR="00DC70E7">
        <w:rPr>
          <w:rFonts w:ascii="Times New Roman" w:eastAsia="Calibri" w:hAnsi="Times New Roman" w:cs="Times New Roman"/>
          <w:sz w:val="24"/>
          <w:szCs w:val="24"/>
        </w:rPr>
        <w:t>zinatniskās</w:t>
      </w:r>
      <w:r w:rsidR="00DC70E7" w:rsidRPr="006913F3">
        <w:rPr>
          <w:rFonts w:ascii="Times New Roman" w:eastAsia="Calibri" w:hAnsi="Times New Roman" w:cs="Times New Roman"/>
          <w:sz w:val="24"/>
          <w:szCs w:val="24"/>
        </w:rPr>
        <w:t xml:space="preserve"> institūcijas </w:t>
      </w:r>
      <w:r w:rsidRPr="006913F3">
        <w:rPr>
          <w:rFonts w:ascii="Times New Roman" w:eastAsia="Calibri" w:hAnsi="Times New Roman" w:cs="Times New Roman"/>
          <w:sz w:val="24"/>
          <w:szCs w:val="24"/>
        </w:rPr>
        <w:t>infrastruktūras</w:t>
      </w:r>
      <w:r w:rsidR="000F4D9D">
        <w:rPr>
          <w:rFonts w:ascii="Times New Roman" w:eastAsia="Calibri" w:hAnsi="Times New Roman" w:cs="Times New Roman"/>
          <w:sz w:val="24"/>
          <w:szCs w:val="24"/>
        </w:rPr>
        <w:t xml:space="preserve"> uzturēšanas</w:t>
      </w:r>
      <w:r w:rsidRPr="006913F3">
        <w:rPr>
          <w:rFonts w:ascii="Times New Roman" w:eastAsia="Calibri" w:hAnsi="Times New Roman" w:cs="Times New Roman"/>
          <w:sz w:val="24"/>
          <w:szCs w:val="24"/>
        </w:rPr>
        <w:t xml:space="preserve"> izdevumu segšanai un </w:t>
      </w:r>
      <w:r w:rsidR="00DC70E7">
        <w:rPr>
          <w:rFonts w:ascii="Times New Roman" w:eastAsia="Calibri" w:hAnsi="Times New Roman" w:cs="Times New Roman"/>
          <w:sz w:val="24"/>
          <w:szCs w:val="24"/>
        </w:rPr>
        <w:t>zinatniskās</w:t>
      </w:r>
      <w:r w:rsidR="00DC70E7" w:rsidRPr="006913F3">
        <w:rPr>
          <w:rFonts w:ascii="Times New Roman" w:eastAsia="Calibri" w:hAnsi="Times New Roman" w:cs="Times New Roman"/>
          <w:sz w:val="24"/>
          <w:szCs w:val="24"/>
        </w:rPr>
        <w:t xml:space="preserve"> institūcijas </w:t>
      </w:r>
      <w:r w:rsidR="00DC70E7">
        <w:rPr>
          <w:rFonts w:ascii="Times New Roman" w:eastAsia="Calibri" w:hAnsi="Times New Roman" w:cs="Times New Roman"/>
          <w:sz w:val="24"/>
          <w:szCs w:val="24"/>
        </w:rPr>
        <w:t xml:space="preserve">nodarbināto </w:t>
      </w:r>
      <w:r w:rsidR="00DC70E7" w:rsidRPr="006913F3">
        <w:rPr>
          <w:rFonts w:ascii="Times New Roman" w:eastAsia="Calibri" w:hAnsi="Times New Roman" w:cs="Times New Roman"/>
          <w:sz w:val="24"/>
          <w:szCs w:val="24"/>
        </w:rPr>
        <w:t xml:space="preserve">zinātnisko personālu </w:t>
      </w:r>
      <w:r w:rsidRPr="006913F3">
        <w:rPr>
          <w:rFonts w:ascii="Times New Roman" w:eastAsia="Calibri" w:hAnsi="Times New Roman" w:cs="Times New Roman"/>
          <w:sz w:val="24"/>
          <w:szCs w:val="24"/>
        </w:rPr>
        <w:t>atalgojumam</w:t>
      </w:r>
      <w:r w:rsidR="000F4D9D">
        <w:rPr>
          <w:rFonts w:ascii="Times New Roman" w:eastAsia="Calibri" w:hAnsi="Times New Roman" w:cs="Times New Roman"/>
          <w:sz w:val="24"/>
          <w:szCs w:val="24"/>
        </w:rPr>
        <w:t xml:space="preserve">, </w:t>
      </w:r>
      <w:r w:rsidR="007B1389" w:rsidRPr="006913F3">
        <w:rPr>
          <w:rFonts w:ascii="Times New Roman" w:eastAsia="Calibri" w:hAnsi="Times New Roman" w:cs="Times New Roman"/>
          <w:sz w:val="24"/>
          <w:szCs w:val="24"/>
        </w:rPr>
        <w:t xml:space="preserve">turklāt </w:t>
      </w:r>
      <w:r w:rsidR="000F4D9D">
        <w:rPr>
          <w:rFonts w:ascii="Times New Roman" w:eastAsia="Calibri" w:hAnsi="Times New Roman" w:cs="Times New Roman"/>
          <w:sz w:val="24"/>
          <w:szCs w:val="24"/>
        </w:rPr>
        <w:t>–</w:t>
      </w:r>
      <w:r w:rsidR="007B1389" w:rsidRPr="006913F3">
        <w:rPr>
          <w:rFonts w:ascii="Times New Roman" w:eastAsia="Calibri" w:hAnsi="Times New Roman" w:cs="Times New Roman"/>
          <w:sz w:val="24"/>
          <w:szCs w:val="24"/>
        </w:rPr>
        <w:t xml:space="preserve"> </w:t>
      </w:r>
      <w:r w:rsidRPr="006913F3">
        <w:rPr>
          <w:rFonts w:ascii="Times New Roman" w:eastAsia="Calibri" w:hAnsi="Times New Roman" w:cs="Times New Roman"/>
          <w:sz w:val="24"/>
          <w:szCs w:val="24"/>
        </w:rPr>
        <w:t>nepietiekamā apmērā</w:t>
      </w:r>
      <w:r w:rsidR="00892577">
        <w:rPr>
          <w:rFonts w:ascii="Times New Roman" w:eastAsia="Calibri" w:hAnsi="Times New Roman" w:cs="Times New Roman"/>
          <w:sz w:val="24"/>
          <w:szCs w:val="24"/>
        </w:rPr>
        <w:t>, tikai daļēji nosedzot pilnvērtīga atalgojuma vajadzības</w:t>
      </w:r>
      <w:r w:rsidRPr="006913F3">
        <w:rPr>
          <w:rFonts w:ascii="Times New Roman" w:eastAsia="Calibri" w:hAnsi="Times New Roman" w:cs="Times New Roman"/>
          <w:sz w:val="24"/>
          <w:szCs w:val="24"/>
        </w:rPr>
        <w:t xml:space="preserve">. </w:t>
      </w:r>
      <w:r w:rsidR="00DC70E7" w:rsidRPr="006913F3">
        <w:rPr>
          <w:rFonts w:ascii="Times New Roman" w:hAnsi="Times New Roman" w:cs="Times New Roman"/>
          <w:sz w:val="24"/>
          <w:szCs w:val="24"/>
        </w:rPr>
        <w:t xml:space="preserve">Zinātnes bāzes </w:t>
      </w:r>
      <w:r w:rsidRPr="006913F3">
        <w:rPr>
          <w:rFonts w:ascii="Times New Roman" w:eastAsia="Calibri" w:hAnsi="Times New Roman" w:cs="Times New Roman"/>
          <w:sz w:val="24"/>
          <w:szCs w:val="24"/>
        </w:rPr>
        <w:t xml:space="preserve">Finansējuma </w:t>
      </w:r>
      <w:r w:rsidR="00B251D4" w:rsidRPr="006913F3">
        <w:rPr>
          <w:rFonts w:ascii="Times New Roman" w:eastAsia="Calibri" w:hAnsi="Times New Roman" w:cs="Times New Roman"/>
          <w:sz w:val="24"/>
          <w:szCs w:val="24"/>
        </w:rPr>
        <w:t>deficīts</w:t>
      </w:r>
      <w:r w:rsidRPr="006913F3">
        <w:rPr>
          <w:rFonts w:ascii="Times New Roman" w:eastAsia="Calibri" w:hAnsi="Times New Roman" w:cs="Times New Roman"/>
          <w:sz w:val="24"/>
          <w:szCs w:val="24"/>
        </w:rPr>
        <w:t xml:space="preserve"> </w:t>
      </w:r>
      <w:r w:rsidR="007B1389" w:rsidRPr="006913F3">
        <w:rPr>
          <w:rFonts w:ascii="Times New Roman" w:eastAsia="Calibri" w:hAnsi="Times New Roman" w:cs="Times New Roman"/>
          <w:sz w:val="24"/>
          <w:szCs w:val="24"/>
        </w:rPr>
        <w:t>tieši noved pie tā</w:t>
      </w:r>
      <w:r w:rsidRPr="006913F3">
        <w:rPr>
          <w:rFonts w:ascii="Times New Roman" w:eastAsia="Calibri" w:hAnsi="Times New Roman" w:cs="Times New Roman"/>
          <w:sz w:val="24"/>
          <w:szCs w:val="24"/>
        </w:rPr>
        <w:t>, ka zinātniskā institūcija nespēj noturēt savu zinātnisko personālu pārtraukumo</w:t>
      </w:r>
      <w:r w:rsidR="007B1389" w:rsidRPr="006913F3">
        <w:rPr>
          <w:rFonts w:ascii="Times New Roman" w:eastAsia="Calibri" w:hAnsi="Times New Roman" w:cs="Times New Roman"/>
          <w:sz w:val="24"/>
          <w:szCs w:val="24"/>
        </w:rPr>
        <w:t>s starp īstenotajiem projektiem, kas ierobežo stabilas zinātniskās karjeras izveidi un</w:t>
      </w:r>
      <w:r w:rsidR="00DC70E7">
        <w:rPr>
          <w:rFonts w:ascii="Times New Roman" w:eastAsia="Calibri" w:hAnsi="Times New Roman" w:cs="Times New Roman"/>
          <w:sz w:val="24"/>
          <w:szCs w:val="24"/>
        </w:rPr>
        <w:t>,</w:t>
      </w:r>
      <w:r w:rsidR="007B1389" w:rsidRPr="006913F3">
        <w:rPr>
          <w:rFonts w:ascii="Times New Roman" w:eastAsia="Calibri" w:hAnsi="Times New Roman" w:cs="Times New Roman"/>
          <w:sz w:val="24"/>
          <w:szCs w:val="24"/>
        </w:rPr>
        <w:t xml:space="preserve"> t.sk.</w:t>
      </w:r>
      <w:r w:rsidR="00DC70E7">
        <w:rPr>
          <w:rFonts w:ascii="Times New Roman" w:eastAsia="Calibri" w:hAnsi="Times New Roman" w:cs="Times New Roman"/>
          <w:sz w:val="24"/>
          <w:szCs w:val="24"/>
        </w:rPr>
        <w:t>,</w:t>
      </w:r>
      <w:r w:rsidR="007B1389" w:rsidRPr="006913F3">
        <w:rPr>
          <w:rFonts w:ascii="Times New Roman" w:eastAsia="Calibri" w:hAnsi="Times New Roman" w:cs="Times New Roman"/>
          <w:sz w:val="24"/>
          <w:szCs w:val="24"/>
        </w:rPr>
        <w:t xml:space="preserve"> ir viens no cēloņiem</w:t>
      </w:r>
      <w:r w:rsidR="00BD3DF8" w:rsidRPr="006913F3">
        <w:rPr>
          <w:rFonts w:ascii="Times New Roman" w:eastAsia="Calibri" w:hAnsi="Times New Roman" w:cs="Times New Roman"/>
          <w:sz w:val="24"/>
          <w:szCs w:val="24"/>
        </w:rPr>
        <w:t>,</w:t>
      </w:r>
      <w:r w:rsidR="007B1389" w:rsidRPr="006913F3">
        <w:rPr>
          <w:rFonts w:ascii="Times New Roman" w:eastAsia="Calibri" w:hAnsi="Times New Roman" w:cs="Times New Roman"/>
          <w:sz w:val="24"/>
          <w:szCs w:val="24"/>
        </w:rPr>
        <w:t xml:space="preserve"> kas veicina Latvij</w:t>
      </w:r>
      <w:r w:rsidR="00BD3DF8" w:rsidRPr="006913F3">
        <w:rPr>
          <w:rFonts w:ascii="Times New Roman" w:eastAsia="Calibri" w:hAnsi="Times New Roman" w:cs="Times New Roman"/>
          <w:sz w:val="24"/>
          <w:szCs w:val="24"/>
        </w:rPr>
        <w:t>as zinātnieku „aizplūšanu” darbā</w:t>
      </w:r>
      <w:r w:rsidR="007B1389" w:rsidRPr="006913F3">
        <w:rPr>
          <w:rFonts w:ascii="Times New Roman" w:eastAsia="Calibri" w:hAnsi="Times New Roman" w:cs="Times New Roman"/>
          <w:sz w:val="24"/>
          <w:szCs w:val="24"/>
        </w:rPr>
        <w:t xml:space="preserve"> uz citām valstīm, kurās ir stabilāks P&amp;A atbalsts.</w:t>
      </w:r>
    </w:p>
    <w:p w14:paraId="53396B9B" w14:textId="77777777" w:rsidR="00CB3D28" w:rsidRPr="006913F3" w:rsidRDefault="00CB3D28" w:rsidP="003D3331">
      <w:pPr>
        <w:pStyle w:val="ListParagraph"/>
        <w:spacing w:after="0" w:line="240" w:lineRule="auto"/>
        <w:jc w:val="both"/>
        <w:rPr>
          <w:rFonts w:ascii="Times New Roman" w:eastAsia="Calibri" w:hAnsi="Times New Roman" w:cs="Times New Roman"/>
          <w:sz w:val="24"/>
          <w:szCs w:val="24"/>
        </w:rPr>
      </w:pPr>
    </w:p>
    <w:p w14:paraId="5CE1F877" w14:textId="1A88BECB" w:rsidR="00CB3D28" w:rsidRPr="006913F3" w:rsidRDefault="007B1389" w:rsidP="00892577">
      <w:pPr>
        <w:spacing w:after="0" w:line="240" w:lineRule="auto"/>
        <w:ind w:firstLine="720"/>
        <w:jc w:val="both"/>
        <w:rPr>
          <w:rFonts w:ascii="Times New Roman" w:eastAsia="Calibri" w:hAnsi="Times New Roman" w:cs="Times New Roman"/>
          <w:sz w:val="24"/>
          <w:szCs w:val="24"/>
        </w:rPr>
      </w:pPr>
      <w:r w:rsidRPr="006913F3">
        <w:rPr>
          <w:rFonts w:ascii="Times New Roman" w:eastAsia="Calibri" w:hAnsi="Times New Roman" w:cs="Times New Roman"/>
          <w:sz w:val="24"/>
          <w:szCs w:val="24"/>
        </w:rPr>
        <w:t>Zinātnes bāzes</w:t>
      </w:r>
      <w:r w:rsidR="00CB3D28" w:rsidRPr="006913F3">
        <w:rPr>
          <w:rFonts w:ascii="Times New Roman" w:eastAsia="Calibri" w:hAnsi="Times New Roman" w:cs="Times New Roman"/>
          <w:sz w:val="24"/>
          <w:szCs w:val="24"/>
        </w:rPr>
        <w:t xml:space="preserve"> finansējums tiek piešķirts uz </w:t>
      </w:r>
      <w:r w:rsidR="00DC70E7" w:rsidRPr="006913F3">
        <w:rPr>
          <w:rFonts w:ascii="Times New Roman" w:hAnsi="Times New Roman" w:cs="Times New Roman"/>
          <w:sz w:val="24"/>
          <w:szCs w:val="24"/>
        </w:rPr>
        <w:t>Ministru kabineta 2013.g</w:t>
      </w:r>
      <w:r w:rsidR="00DC70E7">
        <w:rPr>
          <w:rFonts w:ascii="Times New Roman" w:hAnsi="Times New Roman" w:cs="Times New Roman"/>
          <w:sz w:val="24"/>
          <w:szCs w:val="24"/>
        </w:rPr>
        <w:t xml:space="preserve"> </w:t>
      </w:r>
      <w:r w:rsidR="00DC70E7" w:rsidRPr="006913F3">
        <w:rPr>
          <w:rFonts w:ascii="Times New Roman" w:hAnsi="Times New Roman" w:cs="Times New Roman"/>
          <w:sz w:val="24"/>
          <w:szCs w:val="24"/>
        </w:rPr>
        <w:t>ada 12.</w:t>
      </w:r>
      <w:r w:rsidR="00DC70E7">
        <w:rPr>
          <w:rFonts w:ascii="Times New Roman" w:hAnsi="Times New Roman" w:cs="Times New Roman"/>
          <w:sz w:val="24"/>
          <w:szCs w:val="24"/>
        </w:rPr>
        <w:t xml:space="preserve"> </w:t>
      </w:r>
      <w:r w:rsidR="00DC70E7" w:rsidRPr="006913F3">
        <w:rPr>
          <w:rFonts w:ascii="Times New Roman" w:hAnsi="Times New Roman" w:cs="Times New Roman"/>
          <w:sz w:val="24"/>
          <w:szCs w:val="24"/>
        </w:rPr>
        <w:t>novembra noteikum</w:t>
      </w:r>
      <w:r w:rsidR="00DC70E7">
        <w:rPr>
          <w:rFonts w:ascii="Times New Roman" w:hAnsi="Times New Roman" w:cs="Times New Roman"/>
          <w:sz w:val="24"/>
          <w:szCs w:val="24"/>
        </w:rPr>
        <w:t>os</w:t>
      </w:r>
      <w:r w:rsidR="00DC70E7" w:rsidRPr="006913F3">
        <w:rPr>
          <w:rFonts w:ascii="Times New Roman" w:hAnsi="Times New Roman" w:cs="Times New Roman"/>
          <w:sz w:val="24"/>
          <w:szCs w:val="24"/>
        </w:rPr>
        <w:t xml:space="preserve"> Nr.</w:t>
      </w:r>
      <w:r w:rsidR="00DC70E7">
        <w:rPr>
          <w:rFonts w:ascii="Times New Roman" w:hAnsi="Times New Roman" w:cs="Times New Roman"/>
          <w:sz w:val="24"/>
          <w:szCs w:val="24"/>
        </w:rPr>
        <w:t xml:space="preserve"> </w:t>
      </w:r>
      <w:r w:rsidR="00DC70E7" w:rsidRPr="006913F3">
        <w:rPr>
          <w:rFonts w:ascii="Times New Roman" w:hAnsi="Times New Roman" w:cs="Times New Roman"/>
          <w:sz w:val="24"/>
          <w:szCs w:val="24"/>
        </w:rPr>
        <w:t>1316 “Kārtība, kādā aprēķina un piešķir bāzes finansējumu zinātniskajām institūcijām”</w:t>
      </w:r>
      <w:r w:rsidR="00DC70E7">
        <w:rPr>
          <w:rFonts w:ascii="Times New Roman" w:hAnsi="Times New Roman" w:cs="Times New Roman"/>
          <w:sz w:val="24"/>
          <w:szCs w:val="24"/>
        </w:rPr>
        <w:t xml:space="preserve"> noteikta </w:t>
      </w:r>
      <w:r w:rsidR="00CB3D28" w:rsidRPr="006913F3">
        <w:rPr>
          <w:rFonts w:ascii="Times New Roman" w:eastAsia="Calibri" w:hAnsi="Times New Roman" w:cs="Times New Roman"/>
          <w:sz w:val="24"/>
          <w:szCs w:val="24"/>
        </w:rPr>
        <w:t>aprēķina formulas pamata, kura nosaka šī finansējuma sadalījumu starp zinātniskajām institūcijām, kā arī stimulē konkrētu uzvedību caur tajā noteiktajiem rādītājiem (sadarbība ar uzņēmumiem, starptautiskie projekti, zinātniskās publikācijas, zinātniskā personāla ataudze).</w:t>
      </w:r>
    </w:p>
    <w:p w14:paraId="6DCA2CDE" w14:textId="77777777" w:rsidR="00CB3D28" w:rsidRPr="006913F3" w:rsidRDefault="00CB3D28" w:rsidP="00892577">
      <w:pPr>
        <w:spacing w:after="0" w:line="240" w:lineRule="auto"/>
        <w:jc w:val="both"/>
        <w:rPr>
          <w:rFonts w:ascii="Times New Roman" w:hAnsi="Times New Roman" w:cs="Times New Roman"/>
          <w:sz w:val="24"/>
          <w:szCs w:val="24"/>
        </w:rPr>
      </w:pPr>
    </w:p>
    <w:p w14:paraId="065BF7C4" w14:textId="0F95C120" w:rsidR="00E13E38" w:rsidRPr="006913F3" w:rsidRDefault="00E13E38" w:rsidP="00E13E38">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lastRenderedPageBreak/>
        <w:drawing>
          <wp:inline distT="0" distB="0" distL="0" distR="0" wp14:anchorId="7F1E8F96" wp14:editId="2B9C17F1">
            <wp:extent cx="4922520" cy="318516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3C0CB1" w14:textId="6A617026" w:rsidR="00934850" w:rsidRPr="006913F3" w:rsidRDefault="00F73CB3" w:rsidP="00892577">
      <w:pPr>
        <w:spacing w:after="0" w:line="240" w:lineRule="auto"/>
        <w:jc w:val="both"/>
        <w:rPr>
          <w:rFonts w:ascii="Times New Roman" w:hAnsi="Times New Roman" w:cs="Times New Roman"/>
          <w:sz w:val="24"/>
          <w:szCs w:val="24"/>
        </w:rPr>
      </w:pPr>
      <w:r w:rsidRPr="006913F3">
        <w:rPr>
          <w:rFonts w:ascii="Times New Roman" w:hAnsi="Times New Roman" w:cs="Times New Roman"/>
          <w:b/>
          <w:sz w:val="24"/>
          <w:szCs w:val="24"/>
        </w:rPr>
        <w:t>4</w:t>
      </w:r>
      <w:r w:rsidR="007B1389" w:rsidRPr="006913F3">
        <w:rPr>
          <w:rFonts w:ascii="Times New Roman" w:hAnsi="Times New Roman" w:cs="Times New Roman"/>
          <w:b/>
          <w:sz w:val="24"/>
          <w:szCs w:val="24"/>
        </w:rPr>
        <w:t>.</w:t>
      </w:r>
      <w:r w:rsidR="00E13E38" w:rsidRPr="006913F3">
        <w:rPr>
          <w:rFonts w:ascii="Times New Roman" w:hAnsi="Times New Roman" w:cs="Times New Roman"/>
          <w:b/>
          <w:sz w:val="24"/>
          <w:szCs w:val="24"/>
        </w:rPr>
        <w:t xml:space="preserve"> attēls.</w:t>
      </w:r>
      <w:r w:rsidR="00E13E38" w:rsidRPr="006913F3">
        <w:rPr>
          <w:rFonts w:ascii="Times New Roman" w:hAnsi="Times New Roman" w:cs="Times New Roman"/>
          <w:sz w:val="24"/>
          <w:szCs w:val="24"/>
        </w:rPr>
        <w:t xml:space="preserve"> </w:t>
      </w:r>
      <w:r w:rsidR="00824606" w:rsidRPr="006913F3">
        <w:rPr>
          <w:rFonts w:ascii="Times New Roman" w:hAnsi="Times New Roman" w:cs="Times New Roman"/>
          <w:sz w:val="24"/>
          <w:szCs w:val="24"/>
        </w:rPr>
        <w:t>IZM budžeta apakšproprogrammas 05.02.00 „</w:t>
      </w:r>
      <w:r w:rsidR="000F4D9D">
        <w:rPr>
          <w:rFonts w:ascii="Times New Roman" w:hAnsi="Times New Roman" w:cs="Times New Roman"/>
          <w:sz w:val="24"/>
          <w:szCs w:val="24"/>
        </w:rPr>
        <w:t>Z</w:t>
      </w:r>
      <w:r w:rsidR="000F4D9D" w:rsidRPr="006913F3">
        <w:rPr>
          <w:rFonts w:ascii="Times New Roman" w:hAnsi="Times New Roman" w:cs="Times New Roman"/>
          <w:sz w:val="24"/>
          <w:szCs w:val="24"/>
        </w:rPr>
        <w:t xml:space="preserve">inātnes </w:t>
      </w:r>
      <w:r w:rsidR="00824606" w:rsidRPr="006913F3">
        <w:rPr>
          <w:rFonts w:ascii="Times New Roman" w:hAnsi="Times New Roman" w:cs="Times New Roman"/>
          <w:sz w:val="24"/>
          <w:szCs w:val="24"/>
        </w:rPr>
        <w:t>bāzes finansējums sadalījums” finansējums kopš 2010.</w:t>
      </w:r>
      <w:r w:rsidR="00DD3A5B">
        <w:rPr>
          <w:rFonts w:ascii="Times New Roman" w:hAnsi="Times New Roman" w:cs="Times New Roman"/>
          <w:sz w:val="24"/>
          <w:szCs w:val="24"/>
        </w:rPr>
        <w:t xml:space="preserve"> gada (miljoni </w:t>
      </w:r>
      <w:r w:rsidR="00DD3A5B" w:rsidRPr="00DD3A5B">
        <w:rPr>
          <w:rFonts w:ascii="Times New Roman" w:hAnsi="Times New Roman" w:cs="Times New Roman"/>
          <w:i/>
          <w:sz w:val="24"/>
          <w:szCs w:val="24"/>
        </w:rPr>
        <w:t>eu</w:t>
      </w:r>
      <w:r w:rsidR="00824606" w:rsidRPr="00DD3A5B">
        <w:rPr>
          <w:rFonts w:ascii="Times New Roman" w:hAnsi="Times New Roman" w:cs="Times New Roman"/>
          <w:i/>
          <w:sz w:val="24"/>
          <w:szCs w:val="24"/>
        </w:rPr>
        <w:t>ro</w:t>
      </w:r>
      <w:r w:rsidR="00824606" w:rsidRPr="006913F3">
        <w:rPr>
          <w:rFonts w:ascii="Times New Roman" w:hAnsi="Times New Roman" w:cs="Times New Roman"/>
          <w:sz w:val="24"/>
          <w:szCs w:val="24"/>
        </w:rPr>
        <w:t xml:space="preserve">) </w:t>
      </w:r>
      <w:r w:rsidR="00E13E38" w:rsidRPr="006913F3">
        <w:rPr>
          <w:rFonts w:ascii="Times New Roman" w:hAnsi="Times New Roman" w:cs="Times New Roman"/>
          <w:sz w:val="24"/>
          <w:szCs w:val="24"/>
        </w:rPr>
        <w:t>(</w:t>
      </w:r>
      <w:r w:rsidR="000F4D9D">
        <w:rPr>
          <w:rFonts w:ascii="Times New Roman" w:hAnsi="Times New Roman" w:cs="Times New Roman"/>
          <w:sz w:val="24"/>
          <w:szCs w:val="24"/>
        </w:rPr>
        <w:t>a</w:t>
      </w:r>
      <w:r w:rsidR="000F4D9D" w:rsidRPr="006913F3">
        <w:rPr>
          <w:rFonts w:ascii="Times New Roman" w:hAnsi="Times New Roman" w:cs="Times New Roman"/>
          <w:sz w:val="24"/>
          <w:szCs w:val="24"/>
        </w:rPr>
        <w:t>vots</w:t>
      </w:r>
      <w:r w:rsidR="00E13E38" w:rsidRPr="006913F3">
        <w:rPr>
          <w:rFonts w:ascii="Times New Roman" w:hAnsi="Times New Roman" w:cs="Times New Roman"/>
          <w:sz w:val="24"/>
          <w:szCs w:val="24"/>
        </w:rPr>
        <w:t xml:space="preserve">: </w:t>
      </w:r>
      <w:r w:rsidR="00824606" w:rsidRPr="006913F3">
        <w:rPr>
          <w:rFonts w:ascii="Times New Roman" w:hAnsi="Times New Roman" w:cs="Times New Roman"/>
          <w:sz w:val="24"/>
          <w:szCs w:val="24"/>
        </w:rPr>
        <w:t>IZM</w:t>
      </w:r>
      <w:r w:rsidRPr="006913F3">
        <w:rPr>
          <w:rFonts w:ascii="Times New Roman" w:hAnsi="Times New Roman" w:cs="Times New Roman"/>
          <w:sz w:val="24"/>
          <w:szCs w:val="24"/>
        </w:rPr>
        <w:t>)</w:t>
      </w:r>
    </w:p>
    <w:p w14:paraId="6179C717" w14:textId="028589DA" w:rsidR="00934850" w:rsidRPr="006913F3" w:rsidRDefault="00934850" w:rsidP="00934850">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drawing>
          <wp:inline distT="0" distB="0" distL="0" distR="0" wp14:anchorId="58061103" wp14:editId="1C6FD717">
            <wp:extent cx="4697730" cy="3672840"/>
            <wp:effectExtent l="0" t="0" r="762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D1C2F6" w14:textId="2658B5CE" w:rsidR="00934850" w:rsidRDefault="00F73CB3" w:rsidP="00892577">
      <w:pPr>
        <w:spacing w:after="0" w:line="240" w:lineRule="auto"/>
        <w:jc w:val="both"/>
        <w:rPr>
          <w:rFonts w:ascii="Times New Roman" w:hAnsi="Times New Roman" w:cs="Times New Roman"/>
          <w:sz w:val="24"/>
          <w:szCs w:val="24"/>
        </w:rPr>
      </w:pPr>
      <w:r w:rsidRPr="006913F3">
        <w:rPr>
          <w:rFonts w:ascii="Times New Roman" w:hAnsi="Times New Roman" w:cs="Times New Roman"/>
          <w:b/>
          <w:sz w:val="24"/>
          <w:szCs w:val="24"/>
        </w:rPr>
        <w:t>5.</w:t>
      </w:r>
      <w:r w:rsidR="00934850" w:rsidRPr="006913F3">
        <w:rPr>
          <w:rFonts w:ascii="Times New Roman" w:hAnsi="Times New Roman" w:cs="Times New Roman"/>
          <w:b/>
          <w:sz w:val="24"/>
          <w:szCs w:val="24"/>
        </w:rPr>
        <w:t xml:space="preserve"> attēls.</w:t>
      </w:r>
      <w:r w:rsidR="00934850" w:rsidRPr="006913F3">
        <w:rPr>
          <w:rFonts w:ascii="Times New Roman" w:hAnsi="Times New Roman" w:cs="Times New Roman"/>
          <w:sz w:val="24"/>
          <w:szCs w:val="24"/>
        </w:rPr>
        <w:t xml:space="preserve"> Zinātnes bāzes finansējuma loma kopējā Latvijas P&amp;A finansējumā (2008.</w:t>
      </w:r>
      <w:r w:rsidR="000F4D9D">
        <w:rPr>
          <w:rFonts w:ascii="Times New Roman" w:hAnsi="Times New Roman" w:cs="Times New Roman"/>
          <w:sz w:val="24"/>
          <w:szCs w:val="24"/>
        </w:rPr>
        <w:t>–</w:t>
      </w:r>
      <w:r w:rsidR="00934850" w:rsidRPr="006913F3">
        <w:rPr>
          <w:rFonts w:ascii="Times New Roman" w:hAnsi="Times New Roman" w:cs="Times New Roman"/>
          <w:sz w:val="24"/>
          <w:szCs w:val="24"/>
        </w:rPr>
        <w:t>2019.) (</w:t>
      </w:r>
      <w:r w:rsidR="000F4D9D">
        <w:rPr>
          <w:rFonts w:ascii="Times New Roman" w:hAnsi="Times New Roman" w:cs="Times New Roman"/>
          <w:sz w:val="24"/>
          <w:szCs w:val="24"/>
        </w:rPr>
        <w:t>a</w:t>
      </w:r>
      <w:r w:rsidR="000F4D9D" w:rsidRPr="006913F3">
        <w:rPr>
          <w:rFonts w:ascii="Times New Roman" w:hAnsi="Times New Roman" w:cs="Times New Roman"/>
          <w:sz w:val="24"/>
          <w:szCs w:val="24"/>
        </w:rPr>
        <w:t>vots</w:t>
      </w:r>
      <w:r w:rsidR="00934850" w:rsidRPr="006913F3">
        <w:rPr>
          <w:rFonts w:ascii="Times New Roman" w:hAnsi="Times New Roman" w:cs="Times New Roman"/>
          <w:sz w:val="24"/>
          <w:szCs w:val="24"/>
        </w:rPr>
        <w:t>:</w:t>
      </w:r>
      <w:r w:rsidR="00B251D4" w:rsidRPr="006913F3">
        <w:rPr>
          <w:rFonts w:ascii="Times New Roman" w:hAnsi="Times New Roman" w:cs="Times New Roman"/>
          <w:sz w:val="24"/>
          <w:szCs w:val="24"/>
        </w:rPr>
        <w:t xml:space="preserve"> </w:t>
      </w:r>
      <w:r w:rsidR="00934850" w:rsidRPr="006913F3">
        <w:rPr>
          <w:rFonts w:ascii="Times New Roman" w:hAnsi="Times New Roman" w:cs="Times New Roman"/>
          <w:sz w:val="24"/>
          <w:szCs w:val="24"/>
        </w:rPr>
        <w:t>CSP, IZM, IZM aprēķini)</w:t>
      </w:r>
    </w:p>
    <w:p w14:paraId="38679EC2" w14:textId="77777777" w:rsidR="00DC70E7" w:rsidRPr="006913F3" w:rsidRDefault="00DC70E7" w:rsidP="00892577">
      <w:pPr>
        <w:spacing w:after="0" w:line="240" w:lineRule="auto"/>
        <w:jc w:val="both"/>
        <w:rPr>
          <w:rFonts w:ascii="Times New Roman" w:hAnsi="Times New Roman" w:cs="Times New Roman"/>
          <w:sz w:val="24"/>
          <w:szCs w:val="24"/>
        </w:rPr>
      </w:pPr>
    </w:p>
    <w:p w14:paraId="51B74D2C" w14:textId="15CB3780" w:rsidR="00F73CB3" w:rsidRPr="006913F3" w:rsidRDefault="00F73CB3"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Kopš pēdējā būtiskā finansējuma palielinājuma</w:t>
      </w:r>
      <w:r w:rsidR="00892577">
        <w:rPr>
          <w:rFonts w:ascii="Times New Roman" w:hAnsi="Times New Roman" w:cs="Times New Roman"/>
          <w:sz w:val="24"/>
          <w:szCs w:val="24"/>
        </w:rPr>
        <w:t xml:space="preserve"> (2014. – 2016.gadā)</w:t>
      </w:r>
      <w:r w:rsidRPr="006913F3">
        <w:rPr>
          <w:rFonts w:ascii="Times New Roman" w:hAnsi="Times New Roman" w:cs="Times New Roman"/>
          <w:sz w:val="24"/>
          <w:szCs w:val="24"/>
        </w:rPr>
        <w:t xml:space="preserve"> </w:t>
      </w:r>
      <w:r w:rsidR="000F4D9D">
        <w:rPr>
          <w:rFonts w:ascii="Times New Roman" w:hAnsi="Times New Roman" w:cs="Times New Roman"/>
          <w:sz w:val="24"/>
          <w:szCs w:val="24"/>
        </w:rPr>
        <w:t>z</w:t>
      </w:r>
      <w:r w:rsidR="000F4D9D" w:rsidRPr="006913F3">
        <w:rPr>
          <w:rFonts w:ascii="Times New Roman" w:hAnsi="Times New Roman" w:cs="Times New Roman"/>
          <w:sz w:val="24"/>
          <w:szCs w:val="24"/>
        </w:rPr>
        <w:t xml:space="preserve">inātnes </w:t>
      </w:r>
      <w:r w:rsidRPr="006913F3">
        <w:rPr>
          <w:rFonts w:ascii="Times New Roman" w:hAnsi="Times New Roman" w:cs="Times New Roman"/>
          <w:sz w:val="24"/>
          <w:szCs w:val="24"/>
        </w:rPr>
        <w:t>bāzes finansējumam, tas kopš 2016.</w:t>
      </w:r>
      <w:r w:rsidR="00246EB8">
        <w:rPr>
          <w:rFonts w:ascii="Times New Roman" w:hAnsi="Times New Roman" w:cs="Times New Roman"/>
          <w:sz w:val="24"/>
          <w:szCs w:val="24"/>
        </w:rPr>
        <w:t xml:space="preserve"> </w:t>
      </w:r>
      <w:r w:rsidRPr="006913F3">
        <w:rPr>
          <w:rFonts w:ascii="Times New Roman" w:hAnsi="Times New Roman" w:cs="Times New Roman"/>
          <w:sz w:val="24"/>
          <w:szCs w:val="24"/>
        </w:rPr>
        <w:t>gada vairs tālāk nav palielināts (4.</w:t>
      </w:r>
      <w:r w:rsidR="00246EB8">
        <w:rPr>
          <w:rFonts w:ascii="Times New Roman" w:hAnsi="Times New Roman" w:cs="Times New Roman"/>
          <w:sz w:val="24"/>
          <w:szCs w:val="24"/>
        </w:rPr>
        <w:t xml:space="preserve"> </w:t>
      </w:r>
      <w:r w:rsidRPr="006913F3">
        <w:rPr>
          <w:rFonts w:ascii="Times New Roman" w:hAnsi="Times New Roman" w:cs="Times New Roman"/>
          <w:sz w:val="24"/>
          <w:szCs w:val="24"/>
        </w:rPr>
        <w:t>attēls)</w:t>
      </w:r>
      <w:r w:rsidR="00BD3DF8" w:rsidRPr="006913F3">
        <w:rPr>
          <w:rFonts w:ascii="Times New Roman" w:hAnsi="Times New Roman" w:cs="Times New Roman"/>
          <w:sz w:val="24"/>
          <w:szCs w:val="24"/>
        </w:rPr>
        <w:t xml:space="preserve">, </w:t>
      </w:r>
      <w:r w:rsidR="000F4D9D">
        <w:rPr>
          <w:rFonts w:ascii="Times New Roman" w:hAnsi="Times New Roman" w:cs="Times New Roman"/>
          <w:sz w:val="24"/>
          <w:szCs w:val="24"/>
        </w:rPr>
        <w:t>kas ļauj tikai daļēji nosegt</w:t>
      </w:r>
      <w:r w:rsidRPr="006913F3">
        <w:rPr>
          <w:rFonts w:ascii="Times New Roman" w:hAnsi="Times New Roman" w:cs="Times New Roman"/>
          <w:sz w:val="24"/>
          <w:szCs w:val="24"/>
        </w:rPr>
        <w:t xml:space="preserve"> valsts zinātnisko institūciju pamatvajadzības</w:t>
      </w:r>
      <w:r w:rsidR="000F4D9D">
        <w:rPr>
          <w:rFonts w:ascii="Times New Roman" w:hAnsi="Times New Roman" w:cs="Times New Roman"/>
          <w:sz w:val="24"/>
          <w:szCs w:val="24"/>
        </w:rPr>
        <w:t>. Vienlaikus tas</w:t>
      </w:r>
      <w:r w:rsidRPr="006913F3">
        <w:rPr>
          <w:rFonts w:ascii="Times New Roman" w:hAnsi="Times New Roman" w:cs="Times New Roman"/>
          <w:sz w:val="24"/>
          <w:szCs w:val="24"/>
        </w:rPr>
        <w:t xml:space="preserve"> </w:t>
      </w:r>
      <w:r w:rsidR="000F4D9D">
        <w:rPr>
          <w:rFonts w:ascii="Times New Roman" w:hAnsi="Times New Roman" w:cs="Times New Roman"/>
          <w:sz w:val="24"/>
          <w:szCs w:val="24"/>
        </w:rPr>
        <w:t xml:space="preserve">laikā gaitā ir samazinājis zinātnes bāzes </w:t>
      </w:r>
      <w:r w:rsidR="00DC70E7">
        <w:rPr>
          <w:rFonts w:ascii="Times New Roman" w:hAnsi="Times New Roman" w:cs="Times New Roman"/>
          <w:sz w:val="24"/>
          <w:szCs w:val="24"/>
        </w:rPr>
        <w:t xml:space="preserve">finansējuma </w:t>
      </w:r>
      <w:r w:rsidR="000F4D9D">
        <w:rPr>
          <w:rFonts w:ascii="Times New Roman" w:hAnsi="Times New Roman" w:cs="Times New Roman"/>
          <w:sz w:val="24"/>
          <w:szCs w:val="24"/>
        </w:rPr>
        <w:t>nozīmi</w:t>
      </w:r>
      <w:r w:rsidRPr="006913F3">
        <w:rPr>
          <w:rFonts w:ascii="Times New Roman" w:hAnsi="Times New Roman" w:cs="Times New Roman"/>
          <w:sz w:val="24"/>
          <w:szCs w:val="24"/>
        </w:rPr>
        <w:t xml:space="preserve"> kopējā zinātnes ieguldījumu struktūrā. </w:t>
      </w:r>
      <w:r w:rsidR="00DC70E7">
        <w:rPr>
          <w:rFonts w:ascii="Times New Roman" w:hAnsi="Times New Roman" w:cs="Times New Roman"/>
          <w:sz w:val="24"/>
          <w:szCs w:val="24"/>
        </w:rPr>
        <w:t>Zinātn</w:t>
      </w:r>
      <w:r w:rsidR="00892577">
        <w:rPr>
          <w:rFonts w:ascii="Times New Roman" w:hAnsi="Times New Roman" w:cs="Times New Roman"/>
          <w:sz w:val="24"/>
          <w:szCs w:val="24"/>
        </w:rPr>
        <w:t>e</w:t>
      </w:r>
      <w:r w:rsidR="00DC70E7">
        <w:rPr>
          <w:rFonts w:ascii="Times New Roman" w:hAnsi="Times New Roman" w:cs="Times New Roman"/>
          <w:sz w:val="24"/>
          <w:szCs w:val="24"/>
        </w:rPr>
        <w:t xml:space="preserve">s </w:t>
      </w:r>
      <w:r w:rsidRPr="006913F3">
        <w:rPr>
          <w:rFonts w:ascii="Times New Roman" w:hAnsi="Times New Roman" w:cs="Times New Roman"/>
          <w:sz w:val="24"/>
          <w:szCs w:val="24"/>
        </w:rPr>
        <w:t>Bāzes finansējums</w:t>
      </w:r>
      <w:r w:rsidR="00DC70E7">
        <w:rPr>
          <w:rFonts w:ascii="Times New Roman" w:hAnsi="Times New Roman" w:cs="Times New Roman"/>
          <w:sz w:val="24"/>
          <w:szCs w:val="24"/>
        </w:rPr>
        <w:t xml:space="preserve"> procentuali</w:t>
      </w:r>
      <w:r w:rsidRPr="006913F3">
        <w:rPr>
          <w:rFonts w:ascii="Times New Roman" w:hAnsi="Times New Roman" w:cs="Times New Roman"/>
          <w:sz w:val="24"/>
          <w:szCs w:val="24"/>
        </w:rPr>
        <w:t xml:space="preserve"> no </w:t>
      </w:r>
      <w:r w:rsidR="000F4D9D">
        <w:rPr>
          <w:rFonts w:ascii="Times New Roman" w:hAnsi="Times New Roman" w:cs="Times New Roman"/>
          <w:sz w:val="24"/>
          <w:szCs w:val="24"/>
        </w:rPr>
        <w:t>v</w:t>
      </w:r>
      <w:r w:rsidR="000F4D9D" w:rsidRPr="006913F3">
        <w:rPr>
          <w:rFonts w:ascii="Times New Roman" w:hAnsi="Times New Roman" w:cs="Times New Roman"/>
          <w:sz w:val="24"/>
          <w:szCs w:val="24"/>
        </w:rPr>
        <w:t xml:space="preserve">alsts </w:t>
      </w:r>
      <w:r w:rsidRPr="006913F3">
        <w:rPr>
          <w:rFonts w:ascii="Times New Roman" w:hAnsi="Times New Roman" w:cs="Times New Roman"/>
          <w:sz w:val="24"/>
          <w:szCs w:val="24"/>
        </w:rPr>
        <w:t>budžeta ir pēdējos gados ar krītošu tendenci</w:t>
      </w:r>
      <w:r w:rsidR="00892577">
        <w:rPr>
          <w:rFonts w:ascii="Times New Roman" w:hAnsi="Times New Roman" w:cs="Times New Roman"/>
          <w:sz w:val="24"/>
          <w:szCs w:val="24"/>
        </w:rPr>
        <w:t xml:space="preserve"> (5.attēla izmaiņas no 2017. – 2019.gadam)</w:t>
      </w:r>
      <w:r w:rsidRPr="006913F3">
        <w:rPr>
          <w:rFonts w:ascii="Times New Roman" w:hAnsi="Times New Roman" w:cs="Times New Roman"/>
          <w:sz w:val="24"/>
          <w:szCs w:val="24"/>
        </w:rPr>
        <w:t xml:space="preserve">, kam ir </w:t>
      </w:r>
      <w:r w:rsidRPr="006913F3">
        <w:rPr>
          <w:rFonts w:ascii="Times New Roman" w:hAnsi="Times New Roman" w:cs="Times New Roman"/>
          <w:sz w:val="24"/>
          <w:szCs w:val="24"/>
        </w:rPr>
        <w:lastRenderedPageBreak/>
        <w:t xml:space="preserve">risks palielināt publiskā sektora P&amp;A nestabilitāti un pārlieku lielas sasaistes izveidošanu ar sekmību </w:t>
      </w:r>
      <w:r w:rsidR="00DC70E7">
        <w:rPr>
          <w:rFonts w:ascii="Times New Roman" w:hAnsi="Times New Roman" w:cs="Times New Roman"/>
          <w:sz w:val="24"/>
          <w:szCs w:val="24"/>
        </w:rPr>
        <w:t xml:space="preserve">P&amp;A </w:t>
      </w:r>
      <w:r w:rsidRPr="006913F3">
        <w:rPr>
          <w:rFonts w:ascii="Times New Roman" w:hAnsi="Times New Roman" w:cs="Times New Roman"/>
          <w:sz w:val="24"/>
          <w:szCs w:val="24"/>
        </w:rPr>
        <w:t>projektu konkursos</w:t>
      </w:r>
      <w:r w:rsidR="000F4D9D">
        <w:rPr>
          <w:rFonts w:ascii="Times New Roman" w:hAnsi="Times New Roman" w:cs="Times New Roman"/>
          <w:sz w:val="24"/>
          <w:szCs w:val="24"/>
        </w:rPr>
        <w:t xml:space="preserve"> (piemēram, sekmības rādītājs Apvārsnis 2020 programmā ir </w:t>
      </w:r>
      <w:r w:rsidR="00277DB6">
        <w:rPr>
          <w:rFonts w:ascii="Times New Roman" w:hAnsi="Times New Roman" w:cs="Times New Roman"/>
          <w:sz w:val="24"/>
          <w:szCs w:val="24"/>
        </w:rPr>
        <w:t>14 procenti</w:t>
      </w:r>
      <w:r w:rsidR="000F4D9D">
        <w:rPr>
          <w:rFonts w:ascii="Times New Roman" w:hAnsi="Times New Roman" w:cs="Times New Roman"/>
          <w:sz w:val="24"/>
          <w:szCs w:val="24"/>
        </w:rPr>
        <w:t xml:space="preserve">, </w:t>
      </w:r>
      <w:r w:rsidR="00277DB6">
        <w:rPr>
          <w:rFonts w:ascii="Times New Roman" w:hAnsi="Times New Roman" w:cs="Times New Roman"/>
          <w:sz w:val="24"/>
          <w:szCs w:val="24"/>
        </w:rPr>
        <w:t xml:space="preserve">un </w:t>
      </w:r>
      <w:r w:rsidR="000F4D9D">
        <w:rPr>
          <w:rFonts w:ascii="Times New Roman" w:hAnsi="Times New Roman" w:cs="Times New Roman"/>
          <w:sz w:val="24"/>
          <w:szCs w:val="24"/>
        </w:rPr>
        <w:t xml:space="preserve"> Latvijas fundamentālo un lietišķo pētījumu programma</w:t>
      </w:r>
      <w:r w:rsidR="00277DB6">
        <w:rPr>
          <w:rFonts w:ascii="Times New Roman" w:hAnsi="Times New Roman" w:cs="Times New Roman"/>
          <w:sz w:val="24"/>
          <w:szCs w:val="24"/>
        </w:rPr>
        <w:t xml:space="preserve"> (2020.gada konkurss) arī 14 procenti</w:t>
      </w:r>
      <w:r w:rsidR="000F4D9D">
        <w:rPr>
          <w:rFonts w:ascii="Times New Roman" w:hAnsi="Times New Roman" w:cs="Times New Roman"/>
          <w:sz w:val="24"/>
          <w:szCs w:val="24"/>
        </w:rPr>
        <w:t>)</w:t>
      </w:r>
      <w:r w:rsidRPr="006913F3">
        <w:rPr>
          <w:rFonts w:ascii="Times New Roman" w:hAnsi="Times New Roman" w:cs="Times New Roman"/>
          <w:sz w:val="24"/>
          <w:szCs w:val="24"/>
        </w:rPr>
        <w:t>.</w:t>
      </w:r>
    </w:p>
    <w:p w14:paraId="12417B1F" w14:textId="387D9A16" w:rsidR="00F73CB3" w:rsidRPr="006913F3" w:rsidRDefault="00F73CB3" w:rsidP="00892577">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P&amp;A sistēmā ir jābūt pilnvērtīgam </w:t>
      </w:r>
      <w:r w:rsidR="006A404B">
        <w:rPr>
          <w:rFonts w:ascii="Times New Roman" w:hAnsi="Times New Roman" w:cs="Times New Roman"/>
          <w:sz w:val="24"/>
          <w:szCs w:val="24"/>
        </w:rPr>
        <w:t>līdzsvaram</w:t>
      </w:r>
      <w:r w:rsidR="006A404B" w:rsidRPr="006913F3">
        <w:rPr>
          <w:rFonts w:ascii="Times New Roman" w:hAnsi="Times New Roman" w:cs="Times New Roman"/>
          <w:sz w:val="24"/>
          <w:szCs w:val="24"/>
        </w:rPr>
        <w:t xml:space="preserve"> </w:t>
      </w:r>
      <w:r w:rsidRPr="006913F3">
        <w:rPr>
          <w:rFonts w:ascii="Times New Roman" w:hAnsi="Times New Roman" w:cs="Times New Roman"/>
          <w:sz w:val="24"/>
          <w:szCs w:val="24"/>
        </w:rPr>
        <w:t>starp konkursa kārtībā iegūto finansējumu un institucionālo finansējumu, kura mērķis ir nodrošināt stabilitāti (ņemot vērā gan Latvijas</w:t>
      </w:r>
      <w:r w:rsidR="00BD3DF8" w:rsidRPr="006913F3">
        <w:rPr>
          <w:rFonts w:ascii="Times New Roman" w:hAnsi="Times New Roman" w:cs="Times New Roman"/>
          <w:sz w:val="24"/>
          <w:szCs w:val="24"/>
        </w:rPr>
        <w:t>,</w:t>
      </w:r>
      <w:r w:rsidRPr="006913F3">
        <w:rPr>
          <w:rFonts w:ascii="Times New Roman" w:hAnsi="Times New Roman" w:cs="Times New Roman"/>
          <w:sz w:val="24"/>
          <w:szCs w:val="24"/>
        </w:rPr>
        <w:t xml:space="preserve"> gan ES projektu konkursos izteikti mazo sekmības </w:t>
      </w:r>
      <w:r w:rsidR="00A52B3A">
        <w:rPr>
          <w:rFonts w:ascii="Times New Roman" w:hAnsi="Times New Roman" w:cs="Times New Roman"/>
          <w:sz w:val="24"/>
          <w:szCs w:val="24"/>
        </w:rPr>
        <w:t xml:space="preserve">procentu </w:t>
      </w:r>
      <w:r w:rsidRPr="006913F3">
        <w:rPr>
          <w:rFonts w:ascii="Times New Roman" w:hAnsi="Times New Roman" w:cs="Times New Roman"/>
          <w:sz w:val="24"/>
          <w:szCs w:val="24"/>
        </w:rPr>
        <w:t xml:space="preserve"> finansētajiem projektiem, pārsvarā ~ 10 % līmenī).</w:t>
      </w:r>
    </w:p>
    <w:p w14:paraId="4988B251" w14:textId="5C16DD8B" w:rsidR="002E1887" w:rsidRPr="006913F3" w:rsidRDefault="002E1887" w:rsidP="00934850">
      <w:pPr>
        <w:jc w:val="both"/>
        <w:rPr>
          <w:rFonts w:ascii="Times New Roman" w:hAnsi="Times New Roman" w:cs="Times New Roman"/>
          <w:sz w:val="24"/>
          <w:szCs w:val="24"/>
        </w:rPr>
      </w:pPr>
      <w:r w:rsidRPr="006913F3">
        <w:rPr>
          <w:rFonts w:ascii="Times New Roman" w:hAnsi="Times New Roman" w:cs="Times New Roman"/>
          <w:noProof/>
          <w:sz w:val="24"/>
          <w:szCs w:val="24"/>
          <w:lang w:val="en-GB" w:eastAsia="en-GB"/>
        </w:rPr>
        <w:drawing>
          <wp:inline distT="0" distB="0" distL="0" distR="0" wp14:anchorId="743E04D2" wp14:editId="36331C70">
            <wp:extent cx="6156960" cy="416052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FA5A9" w14:textId="11828952" w:rsidR="002E1887" w:rsidRPr="006913F3" w:rsidRDefault="00F73CB3" w:rsidP="002E1887">
      <w:pPr>
        <w:jc w:val="both"/>
        <w:rPr>
          <w:rFonts w:ascii="Times New Roman" w:hAnsi="Times New Roman" w:cs="Times New Roman"/>
          <w:sz w:val="24"/>
          <w:szCs w:val="24"/>
        </w:rPr>
      </w:pPr>
      <w:r w:rsidRPr="006913F3">
        <w:rPr>
          <w:rFonts w:ascii="Times New Roman" w:hAnsi="Times New Roman" w:cs="Times New Roman"/>
          <w:b/>
          <w:sz w:val="24"/>
          <w:szCs w:val="24"/>
        </w:rPr>
        <w:t>6.</w:t>
      </w:r>
      <w:r w:rsidR="002E1887" w:rsidRPr="006913F3">
        <w:rPr>
          <w:rFonts w:ascii="Times New Roman" w:hAnsi="Times New Roman" w:cs="Times New Roman"/>
          <w:b/>
          <w:sz w:val="24"/>
          <w:szCs w:val="24"/>
        </w:rPr>
        <w:t xml:space="preserve"> attēls.</w:t>
      </w:r>
      <w:r w:rsidR="002E1887" w:rsidRPr="006913F3">
        <w:rPr>
          <w:rFonts w:ascii="Times New Roman" w:hAnsi="Times New Roman" w:cs="Times New Roman"/>
          <w:sz w:val="24"/>
          <w:szCs w:val="24"/>
        </w:rPr>
        <w:t xml:space="preserve"> Zinātnes bāzes finansējums </w:t>
      </w:r>
      <w:r w:rsidR="00A52B3A">
        <w:rPr>
          <w:rFonts w:ascii="Times New Roman" w:hAnsi="Times New Roman" w:cs="Times New Roman"/>
          <w:sz w:val="24"/>
          <w:szCs w:val="24"/>
        </w:rPr>
        <w:t>procentos</w:t>
      </w:r>
      <w:r w:rsidR="00A52B3A" w:rsidRPr="006913F3">
        <w:rPr>
          <w:rFonts w:ascii="Times New Roman" w:hAnsi="Times New Roman" w:cs="Times New Roman"/>
          <w:sz w:val="24"/>
          <w:szCs w:val="24"/>
        </w:rPr>
        <w:t xml:space="preserve"> </w:t>
      </w:r>
      <w:r w:rsidR="002E1887" w:rsidRPr="006913F3">
        <w:rPr>
          <w:rFonts w:ascii="Times New Roman" w:hAnsi="Times New Roman" w:cs="Times New Roman"/>
          <w:sz w:val="24"/>
          <w:szCs w:val="24"/>
        </w:rPr>
        <w:t>no kopējā</w:t>
      </w:r>
      <w:r w:rsidR="00277DB6">
        <w:rPr>
          <w:rFonts w:ascii="Times New Roman" w:hAnsi="Times New Roman" w:cs="Times New Roman"/>
          <w:sz w:val="24"/>
          <w:szCs w:val="24"/>
        </w:rPr>
        <w:t xml:space="preserve"> institūcijas</w:t>
      </w:r>
      <w:r w:rsidR="002E1887" w:rsidRPr="006913F3">
        <w:rPr>
          <w:rFonts w:ascii="Times New Roman" w:hAnsi="Times New Roman" w:cs="Times New Roman"/>
          <w:sz w:val="24"/>
          <w:szCs w:val="24"/>
        </w:rPr>
        <w:t xml:space="preserve"> P&amp;A finansējuma 2019.</w:t>
      </w:r>
      <w:r w:rsidR="00246EB8">
        <w:rPr>
          <w:rFonts w:ascii="Times New Roman" w:hAnsi="Times New Roman" w:cs="Times New Roman"/>
          <w:sz w:val="24"/>
          <w:szCs w:val="24"/>
        </w:rPr>
        <w:t xml:space="preserve"> </w:t>
      </w:r>
      <w:r w:rsidR="002E1887" w:rsidRPr="006913F3">
        <w:rPr>
          <w:rFonts w:ascii="Times New Roman" w:hAnsi="Times New Roman" w:cs="Times New Roman"/>
          <w:sz w:val="24"/>
          <w:szCs w:val="24"/>
        </w:rPr>
        <w:t>gadā (Avots:</w:t>
      </w:r>
      <w:r w:rsidR="00B251D4" w:rsidRPr="006913F3">
        <w:rPr>
          <w:rFonts w:ascii="Times New Roman" w:hAnsi="Times New Roman" w:cs="Times New Roman"/>
          <w:sz w:val="24"/>
          <w:szCs w:val="24"/>
        </w:rPr>
        <w:t xml:space="preserve"> </w:t>
      </w:r>
      <w:r w:rsidR="002E1887" w:rsidRPr="006913F3">
        <w:rPr>
          <w:rFonts w:ascii="Times New Roman" w:hAnsi="Times New Roman" w:cs="Times New Roman"/>
          <w:sz w:val="24"/>
          <w:szCs w:val="24"/>
        </w:rPr>
        <w:t>CSP, IZM, IZM aprēķini)</w:t>
      </w:r>
    </w:p>
    <w:p w14:paraId="7B665045" w14:textId="356A147F" w:rsidR="002E1887" w:rsidRPr="006913F3" w:rsidRDefault="002E1887" w:rsidP="00246EB8">
      <w:pPr>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Starp tām </w:t>
      </w:r>
      <w:r w:rsidR="00A52B3A">
        <w:rPr>
          <w:rFonts w:ascii="Times New Roman" w:hAnsi="Times New Roman" w:cs="Times New Roman"/>
          <w:sz w:val="24"/>
          <w:szCs w:val="24"/>
        </w:rPr>
        <w:t xml:space="preserve">zinātniskajām </w:t>
      </w:r>
      <w:r w:rsidRPr="006913F3">
        <w:rPr>
          <w:rFonts w:ascii="Times New Roman" w:hAnsi="Times New Roman" w:cs="Times New Roman"/>
          <w:sz w:val="24"/>
          <w:szCs w:val="24"/>
        </w:rPr>
        <w:t>institūcijām, kuras saņem zinātnes bāzes finansējumu, tas 2019.</w:t>
      </w:r>
      <w:r w:rsidR="00246EB8">
        <w:rPr>
          <w:rFonts w:ascii="Times New Roman" w:hAnsi="Times New Roman" w:cs="Times New Roman"/>
          <w:sz w:val="24"/>
          <w:szCs w:val="24"/>
        </w:rPr>
        <w:t xml:space="preserve"> </w:t>
      </w:r>
      <w:r w:rsidRPr="006913F3">
        <w:rPr>
          <w:rFonts w:ascii="Times New Roman" w:hAnsi="Times New Roman" w:cs="Times New Roman"/>
          <w:sz w:val="24"/>
          <w:szCs w:val="24"/>
        </w:rPr>
        <w:t xml:space="preserve">gadā vidēji veido 16 % no kopējā </w:t>
      </w:r>
      <w:r w:rsidR="00277DB6">
        <w:rPr>
          <w:rFonts w:ascii="Times New Roman" w:hAnsi="Times New Roman" w:cs="Times New Roman"/>
          <w:sz w:val="24"/>
          <w:szCs w:val="24"/>
        </w:rPr>
        <w:t xml:space="preserve">institūcijas </w:t>
      </w:r>
      <w:r w:rsidRPr="006913F3">
        <w:rPr>
          <w:rFonts w:ascii="Times New Roman" w:hAnsi="Times New Roman" w:cs="Times New Roman"/>
          <w:sz w:val="24"/>
          <w:szCs w:val="24"/>
        </w:rPr>
        <w:t>P&amp;A finansējuma</w:t>
      </w:r>
      <w:r w:rsidR="00560878" w:rsidRPr="006913F3">
        <w:rPr>
          <w:rFonts w:ascii="Times New Roman" w:hAnsi="Times New Roman" w:cs="Times New Roman"/>
          <w:sz w:val="24"/>
          <w:szCs w:val="24"/>
        </w:rPr>
        <w:t>, ar izteiktu variāciju starp</w:t>
      </w:r>
      <w:r w:rsidR="00A52B3A">
        <w:rPr>
          <w:rFonts w:ascii="Times New Roman" w:hAnsi="Times New Roman" w:cs="Times New Roman"/>
          <w:sz w:val="24"/>
          <w:szCs w:val="24"/>
        </w:rPr>
        <w:t xml:space="preserve"> zinātniskajām</w:t>
      </w:r>
      <w:r w:rsidR="00560878" w:rsidRPr="006913F3">
        <w:rPr>
          <w:rFonts w:ascii="Times New Roman" w:hAnsi="Times New Roman" w:cs="Times New Roman"/>
          <w:sz w:val="24"/>
          <w:szCs w:val="24"/>
        </w:rPr>
        <w:t xml:space="preserve"> institūcijām</w:t>
      </w:r>
      <w:r w:rsidR="00277DB6">
        <w:rPr>
          <w:rFonts w:ascii="Times New Roman" w:hAnsi="Times New Roman" w:cs="Times New Roman"/>
          <w:sz w:val="24"/>
          <w:szCs w:val="24"/>
        </w:rPr>
        <w:t xml:space="preserve"> (6.attēls)</w:t>
      </w:r>
      <w:r w:rsidR="00560878" w:rsidRPr="006913F3">
        <w:rPr>
          <w:rFonts w:ascii="Times New Roman" w:hAnsi="Times New Roman" w:cs="Times New Roman"/>
          <w:sz w:val="24"/>
          <w:szCs w:val="24"/>
        </w:rPr>
        <w:t>,</w:t>
      </w:r>
      <w:r w:rsidR="006A404B">
        <w:rPr>
          <w:rFonts w:ascii="Times New Roman" w:hAnsi="Times New Roman" w:cs="Times New Roman"/>
          <w:sz w:val="24"/>
          <w:szCs w:val="24"/>
        </w:rPr>
        <w:t xml:space="preserve"> ko ietekmē</w:t>
      </w:r>
      <w:r w:rsidR="00560878" w:rsidRPr="006913F3">
        <w:rPr>
          <w:rFonts w:ascii="Times New Roman" w:hAnsi="Times New Roman" w:cs="Times New Roman"/>
          <w:sz w:val="24"/>
          <w:szCs w:val="24"/>
        </w:rPr>
        <w:t xml:space="preserve"> </w:t>
      </w:r>
      <w:r w:rsidR="006A404B">
        <w:rPr>
          <w:rFonts w:ascii="Times New Roman" w:hAnsi="Times New Roman" w:cs="Times New Roman"/>
          <w:sz w:val="24"/>
          <w:szCs w:val="24"/>
        </w:rPr>
        <w:t>sekmes</w:t>
      </w:r>
      <w:r w:rsidR="00560878" w:rsidRPr="006913F3">
        <w:rPr>
          <w:rFonts w:ascii="Times New Roman" w:hAnsi="Times New Roman" w:cs="Times New Roman"/>
          <w:sz w:val="24"/>
          <w:szCs w:val="24"/>
        </w:rPr>
        <w:t xml:space="preserve"> dažādu P&amp;A grantu konkursos un P&amp;A infrastruktūras ieguldījumi.</w:t>
      </w:r>
    </w:p>
    <w:p w14:paraId="042CB76A" w14:textId="77777777" w:rsidR="004A0F02" w:rsidRPr="006913F3" w:rsidRDefault="004A0F02" w:rsidP="002E1887">
      <w:pPr>
        <w:jc w:val="both"/>
        <w:rPr>
          <w:rFonts w:ascii="Times New Roman" w:hAnsi="Times New Roman" w:cs="Times New Roman"/>
          <w:sz w:val="24"/>
          <w:szCs w:val="24"/>
        </w:rPr>
      </w:pPr>
    </w:p>
    <w:p w14:paraId="42852105" w14:textId="22D9EEC5" w:rsidR="004A0F02" w:rsidRPr="006913F3" w:rsidRDefault="004A0F02" w:rsidP="002E1887">
      <w:pPr>
        <w:jc w:val="both"/>
        <w:rPr>
          <w:rFonts w:ascii="Times New Roman" w:hAnsi="Times New Roman" w:cs="Times New Roman"/>
          <w:sz w:val="24"/>
          <w:szCs w:val="24"/>
        </w:rPr>
      </w:pPr>
      <w:r w:rsidRPr="006913F3">
        <w:rPr>
          <w:rFonts w:ascii="Times New Roman" w:hAnsi="Times New Roman" w:cs="Times New Roman"/>
          <w:noProof/>
          <w:lang w:val="en-GB" w:eastAsia="en-GB"/>
        </w:rPr>
        <w:lastRenderedPageBreak/>
        <w:drawing>
          <wp:inline distT="0" distB="0" distL="0" distR="0" wp14:anchorId="1DA9C419" wp14:editId="527AD6D6">
            <wp:extent cx="6188710" cy="594868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BC5E50" w14:textId="3F49EA5D" w:rsidR="004A0F02" w:rsidRDefault="00F73CB3" w:rsidP="00277DB6">
      <w:pPr>
        <w:spacing w:after="0" w:line="240" w:lineRule="auto"/>
        <w:jc w:val="both"/>
        <w:rPr>
          <w:rFonts w:ascii="Times New Roman" w:hAnsi="Times New Roman" w:cs="Times New Roman"/>
          <w:sz w:val="24"/>
          <w:szCs w:val="24"/>
        </w:rPr>
      </w:pPr>
      <w:r w:rsidRPr="006913F3">
        <w:rPr>
          <w:rFonts w:ascii="Times New Roman" w:hAnsi="Times New Roman" w:cs="Times New Roman"/>
          <w:b/>
          <w:sz w:val="24"/>
          <w:szCs w:val="24"/>
        </w:rPr>
        <w:t xml:space="preserve">7. </w:t>
      </w:r>
      <w:r w:rsidR="004A0F02" w:rsidRPr="006913F3">
        <w:rPr>
          <w:rFonts w:ascii="Times New Roman" w:hAnsi="Times New Roman" w:cs="Times New Roman"/>
          <w:b/>
          <w:sz w:val="24"/>
          <w:szCs w:val="24"/>
        </w:rPr>
        <w:t>attēls.</w:t>
      </w:r>
      <w:r w:rsidR="004A0F02" w:rsidRPr="006913F3">
        <w:rPr>
          <w:rFonts w:ascii="Times New Roman" w:hAnsi="Times New Roman" w:cs="Times New Roman"/>
          <w:sz w:val="24"/>
          <w:szCs w:val="24"/>
        </w:rPr>
        <w:t xml:space="preserve"> Ikgadējā zinātnes bāzes finansējuma 2018.</w:t>
      </w:r>
      <w:r w:rsidR="004D3982">
        <w:rPr>
          <w:rFonts w:ascii="Times New Roman" w:hAnsi="Times New Roman" w:cs="Times New Roman"/>
          <w:sz w:val="24"/>
          <w:szCs w:val="24"/>
        </w:rPr>
        <w:t>–</w:t>
      </w:r>
      <w:r w:rsidR="004A0F02" w:rsidRPr="006913F3">
        <w:rPr>
          <w:rFonts w:ascii="Times New Roman" w:hAnsi="Times New Roman" w:cs="Times New Roman"/>
          <w:sz w:val="24"/>
          <w:szCs w:val="24"/>
        </w:rPr>
        <w:t>2021.</w:t>
      </w:r>
      <w:r w:rsidR="000B0816">
        <w:rPr>
          <w:rFonts w:ascii="Times New Roman" w:hAnsi="Times New Roman" w:cs="Times New Roman"/>
          <w:sz w:val="24"/>
          <w:szCs w:val="24"/>
        </w:rPr>
        <w:t xml:space="preserve"> </w:t>
      </w:r>
      <w:r w:rsidR="004A0F02" w:rsidRPr="006913F3">
        <w:rPr>
          <w:rFonts w:ascii="Times New Roman" w:hAnsi="Times New Roman" w:cs="Times New Roman"/>
          <w:sz w:val="24"/>
          <w:szCs w:val="24"/>
        </w:rPr>
        <w:t xml:space="preserve">gada periodā </w:t>
      </w:r>
      <w:r w:rsidR="006913F3" w:rsidRPr="006913F3">
        <w:rPr>
          <w:rFonts w:ascii="Times New Roman" w:hAnsi="Times New Roman" w:cs="Times New Roman"/>
          <w:sz w:val="24"/>
          <w:szCs w:val="24"/>
        </w:rPr>
        <w:t xml:space="preserve">izmaiņas </w:t>
      </w:r>
      <w:r w:rsidR="004A0F02" w:rsidRPr="006913F3">
        <w:rPr>
          <w:rFonts w:ascii="Times New Roman" w:hAnsi="Times New Roman" w:cs="Times New Roman"/>
          <w:sz w:val="24"/>
          <w:szCs w:val="24"/>
        </w:rPr>
        <w:t>(% pret iepriekšējo gadu) (</w:t>
      </w:r>
      <w:r w:rsidR="004D3982">
        <w:rPr>
          <w:rFonts w:ascii="Times New Roman" w:hAnsi="Times New Roman" w:cs="Times New Roman"/>
          <w:sz w:val="24"/>
          <w:szCs w:val="24"/>
        </w:rPr>
        <w:t>a</w:t>
      </w:r>
      <w:r w:rsidR="004D3982" w:rsidRPr="006913F3">
        <w:rPr>
          <w:rFonts w:ascii="Times New Roman" w:hAnsi="Times New Roman" w:cs="Times New Roman"/>
          <w:sz w:val="24"/>
          <w:szCs w:val="24"/>
        </w:rPr>
        <w:t>vots</w:t>
      </w:r>
      <w:r w:rsidR="004A0F02" w:rsidRPr="006913F3">
        <w:rPr>
          <w:rFonts w:ascii="Times New Roman" w:hAnsi="Times New Roman" w:cs="Times New Roman"/>
          <w:sz w:val="24"/>
          <w:szCs w:val="24"/>
        </w:rPr>
        <w:t>: IZM, IZM aprēķini)</w:t>
      </w:r>
    </w:p>
    <w:p w14:paraId="5782866D" w14:textId="77777777" w:rsidR="00A52B3A" w:rsidRPr="006913F3" w:rsidRDefault="00A52B3A" w:rsidP="00277DB6">
      <w:pPr>
        <w:spacing w:after="0" w:line="240" w:lineRule="auto"/>
        <w:jc w:val="both"/>
        <w:rPr>
          <w:rFonts w:ascii="Times New Roman" w:hAnsi="Times New Roman" w:cs="Times New Roman"/>
          <w:sz w:val="24"/>
          <w:szCs w:val="24"/>
        </w:rPr>
      </w:pPr>
    </w:p>
    <w:p w14:paraId="5A201D00" w14:textId="6B4BC49D" w:rsidR="00D3292C" w:rsidRPr="006913F3" w:rsidRDefault="00277DB6" w:rsidP="00277D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Analizējot</w:t>
      </w:r>
      <w:r w:rsidRPr="006913F3">
        <w:rPr>
          <w:rFonts w:ascii="Times New Roman" w:hAnsi="Times New Roman" w:cs="Times New Roman"/>
          <w:sz w:val="24"/>
          <w:szCs w:val="24"/>
        </w:rPr>
        <w:t xml:space="preserve"> </w:t>
      </w:r>
      <w:r w:rsidR="004A0F02" w:rsidRPr="006913F3">
        <w:rPr>
          <w:rFonts w:ascii="Times New Roman" w:hAnsi="Times New Roman" w:cs="Times New Roman"/>
          <w:sz w:val="24"/>
          <w:szCs w:val="24"/>
        </w:rPr>
        <w:t>pēdējo 3 gadu (2018.–2021.</w:t>
      </w:r>
      <w:r w:rsidR="000B0816">
        <w:rPr>
          <w:rFonts w:ascii="Times New Roman" w:hAnsi="Times New Roman" w:cs="Times New Roman"/>
          <w:sz w:val="24"/>
          <w:szCs w:val="24"/>
        </w:rPr>
        <w:t xml:space="preserve"> </w:t>
      </w:r>
      <w:r w:rsidR="004A0F02" w:rsidRPr="006913F3">
        <w:rPr>
          <w:rFonts w:ascii="Times New Roman" w:hAnsi="Times New Roman" w:cs="Times New Roman"/>
          <w:sz w:val="24"/>
          <w:szCs w:val="24"/>
        </w:rPr>
        <w:t>gadā</w:t>
      </w:r>
      <w:r w:rsidR="004A0F02" w:rsidRPr="006913F3">
        <w:rPr>
          <w:rStyle w:val="FootnoteReference"/>
          <w:rFonts w:ascii="Times New Roman" w:hAnsi="Times New Roman" w:cs="Times New Roman"/>
          <w:sz w:val="24"/>
          <w:szCs w:val="24"/>
        </w:rPr>
        <w:footnoteReference w:id="17"/>
      </w:r>
      <w:r w:rsidR="004A0F02" w:rsidRPr="006913F3">
        <w:rPr>
          <w:rFonts w:ascii="Times New Roman" w:hAnsi="Times New Roman" w:cs="Times New Roman"/>
          <w:sz w:val="24"/>
          <w:szCs w:val="24"/>
        </w:rPr>
        <w:t xml:space="preserve">) izmaiņas </w:t>
      </w:r>
      <w:r w:rsidR="00A52B3A">
        <w:rPr>
          <w:rFonts w:ascii="Times New Roman" w:hAnsi="Times New Roman" w:cs="Times New Roman"/>
          <w:sz w:val="24"/>
          <w:szCs w:val="24"/>
        </w:rPr>
        <w:t>zinatnis</w:t>
      </w:r>
      <w:r>
        <w:rPr>
          <w:rFonts w:ascii="Times New Roman" w:hAnsi="Times New Roman" w:cs="Times New Roman"/>
          <w:sz w:val="24"/>
          <w:szCs w:val="24"/>
        </w:rPr>
        <w:t>k</w:t>
      </w:r>
      <w:r w:rsidR="00A52B3A">
        <w:rPr>
          <w:rFonts w:ascii="Times New Roman" w:hAnsi="Times New Roman" w:cs="Times New Roman"/>
          <w:sz w:val="24"/>
          <w:szCs w:val="24"/>
        </w:rPr>
        <w:t xml:space="preserve">o </w:t>
      </w:r>
      <w:r w:rsidR="004A0F02" w:rsidRPr="006913F3">
        <w:rPr>
          <w:rFonts w:ascii="Times New Roman" w:hAnsi="Times New Roman" w:cs="Times New Roman"/>
          <w:sz w:val="24"/>
          <w:szCs w:val="24"/>
        </w:rPr>
        <w:t>institūciju piešķirtajam zinātnes bāzes finansējuma apmēram</w:t>
      </w:r>
      <w:r>
        <w:rPr>
          <w:rFonts w:ascii="Times New Roman" w:hAnsi="Times New Roman" w:cs="Times New Roman"/>
          <w:sz w:val="24"/>
          <w:szCs w:val="24"/>
        </w:rPr>
        <w:t xml:space="preserve"> (7.attēls)</w:t>
      </w:r>
      <w:r w:rsidR="006913F3" w:rsidRPr="006913F3">
        <w:rPr>
          <w:rFonts w:ascii="Times New Roman" w:hAnsi="Times New Roman" w:cs="Times New Roman"/>
          <w:sz w:val="24"/>
          <w:szCs w:val="24"/>
        </w:rPr>
        <w:t>,</w:t>
      </w:r>
      <w:r w:rsidR="004A0F02" w:rsidRPr="006913F3">
        <w:rPr>
          <w:rFonts w:ascii="Times New Roman" w:hAnsi="Times New Roman" w:cs="Times New Roman"/>
          <w:sz w:val="24"/>
          <w:szCs w:val="24"/>
        </w:rPr>
        <w:t xml:space="preserve"> var ievērot to, ka vairumā gadījumu </w:t>
      </w:r>
      <w:r w:rsidR="00A52B3A">
        <w:rPr>
          <w:rFonts w:ascii="Times New Roman" w:hAnsi="Times New Roman" w:cs="Times New Roman"/>
          <w:sz w:val="24"/>
          <w:szCs w:val="24"/>
        </w:rPr>
        <w:t xml:space="preserve">zinātniskajām </w:t>
      </w:r>
      <w:r w:rsidR="004A0F02" w:rsidRPr="006913F3">
        <w:rPr>
          <w:rFonts w:ascii="Times New Roman" w:hAnsi="Times New Roman" w:cs="Times New Roman"/>
          <w:sz w:val="24"/>
          <w:szCs w:val="24"/>
        </w:rPr>
        <w:t xml:space="preserve">institūcijām piešķirtais zinātnes bāzes finansējums viena gada ietvaros </w:t>
      </w:r>
      <w:r w:rsidR="002A7F31" w:rsidRPr="006913F3">
        <w:rPr>
          <w:rFonts w:ascii="Times New Roman" w:hAnsi="Times New Roman" w:cs="Times New Roman"/>
          <w:sz w:val="24"/>
          <w:szCs w:val="24"/>
        </w:rPr>
        <w:t xml:space="preserve">ir vairumā gadījumu mainījies +/- 10 % robežās (68 % </w:t>
      </w:r>
      <w:r w:rsidR="00A52B3A">
        <w:rPr>
          <w:rFonts w:ascii="Times New Roman" w:hAnsi="Times New Roman" w:cs="Times New Roman"/>
          <w:sz w:val="24"/>
          <w:szCs w:val="24"/>
        </w:rPr>
        <w:t xml:space="preserve">zinātnisko </w:t>
      </w:r>
      <w:r w:rsidR="002A7F31" w:rsidRPr="006913F3">
        <w:rPr>
          <w:rFonts w:ascii="Times New Roman" w:hAnsi="Times New Roman" w:cs="Times New Roman"/>
          <w:sz w:val="24"/>
          <w:szCs w:val="24"/>
        </w:rPr>
        <w:t>institūciju). Detalizēti apskatot šīs</w:t>
      </w:r>
      <w:r w:rsidR="00A52B3A">
        <w:rPr>
          <w:rFonts w:ascii="Times New Roman" w:hAnsi="Times New Roman" w:cs="Times New Roman"/>
          <w:sz w:val="24"/>
          <w:szCs w:val="24"/>
        </w:rPr>
        <w:t xml:space="preserve"> zinātniskās</w:t>
      </w:r>
      <w:r w:rsidR="002A7F31" w:rsidRPr="006913F3">
        <w:rPr>
          <w:rFonts w:ascii="Times New Roman" w:hAnsi="Times New Roman" w:cs="Times New Roman"/>
          <w:sz w:val="24"/>
          <w:szCs w:val="24"/>
        </w:rPr>
        <w:t xml:space="preserve"> institūcijas, vairumā gadījumu tas ir saistīts ar stabilu un maz mainīgu </w:t>
      </w:r>
      <w:r w:rsidR="00A52B3A">
        <w:rPr>
          <w:rFonts w:ascii="Times New Roman" w:hAnsi="Times New Roman" w:cs="Times New Roman"/>
          <w:sz w:val="24"/>
          <w:szCs w:val="24"/>
        </w:rPr>
        <w:t xml:space="preserve">zinātniskās </w:t>
      </w:r>
      <w:r w:rsidR="002A7F31" w:rsidRPr="006913F3">
        <w:rPr>
          <w:rFonts w:ascii="Times New Roman" w:hAnsi="Times New Roman" w:cs="Times New Roman"/>
          <w:sz w:val="24"/>
          <w:szCs w:val="24"/>
        </w:rPr>
        <w:t>institūcijas zinātnisko darbinieku skaitu</w:t>
      </w:r>
      <w:r w:rsidR="004D3982">
        <w:rPr>
          <w:rFonts w:ascii="Times New Roman" w:hAnsi="Times New Roman" w:cs="Times New Roman"/>
          <w:sz w:val="24"/>
          <w:szCs w:val="24"/>
        </w:rPr>
        <w:t xml:space="preserve"> pilna</w:t>
      </w:r>
      <w:r w:rsidR="00A52B3A">
        <w:rPr>
          <w:rFonts w:ascii="Times New Roman" w:hAnsi="Times New Roman" w:cs="Times New Roman"/>
          <w:sz w:val="24"/>
          <w:szCs w:val="24"/>
        </w:rPr>
        <w:t xml:space="preserve"> darba</w:t>
      </w:r>
      <w:r w:rsidR="004D3982">
        <w:rPr>
          <w:rFonts w:ascii="Times New Roman" w:hAnsi="Times New Roman" w:cs="Times New Roman"/>
          <w:sz w:val="24"/>
          <w:szCs w:val="24"/>
        </w:rPr>
        <w:t xml:space="preserve"> laika ekvivalenta</w:t>
      </w:r>
      <w:r w:rsidR="002A7F31" w:rsidRPr="006913F3">
        <w:rPr>
          <w:rFonts w:ascii="Times New Roman" w:hAnsi="Times New Roman" w:cs="Times New Roman"/>
          <w:sz w:val="24"/>
          <w:szCs w:val="24"/>
        </w:rPr>
        <w:t xml:space="preserve"> </w:t>
      </w:r>
      <w:r w:rsidR="004D3982">
        <w:rPr>
          <w:rFonts w:ascii="Times New Roman" w:hAnsi="Times New Roman" w:cs="Times New Roman"/>
          <w:sz w:val="24"/>
          <w:szCs w:val="24"/>
        </w:rPr>
        <w:t xml:space="preserve">(turpmāk – </w:t>
      </w:r>
      <w:r w:rsidR="00D3292C" w:rsidRPr="006913F3">
        <w:rPr>
          <w:rFonts w:ascii="Times New Roman" w:hAnsi="Times New Roman" w:cs="Times New Roman"/>
          <w:sz w:val="24"/>
          <w:szCs w:val="24"/>
        </w:rPr>
        <w:t>PLE</w:t>
      </w:r>
      <w:r w:rsidR="004D3982">
        <w:rPr>
          <w:rFonts w:ascii="Times New Roman" w:hAnsi="Times New Roman" w:cs="Times New Roman"/>
          <w:sz w:val="24"/>
          <w:szCs w:val="24"/>
        </w:rPr>
        <w:t>)</w:t>
      </w:r>
      <w:r w:rsidR="002A7F31" w:rsidRPr="006913F3">
        <w:rPr>
          <w:rFonts w:ascii="Times New Roman" w:hAnsi="Times New Roman" w:cs="Times New Roman"/>
          <w:sz w:val="24"/>
          <w:szCs w:val="24"/>
        </w:rPr>
        <w:t xml:space="preserve"> izteiksmē, kas primāri ietekmē </w:t>
      </w:r>
      <w:r>
        <w:rPr>
          <w:rFonts w:ascii="Times New Roman" w:hAnsi="Times New Roman" w:cs="Times New Roman"/>
          <w:sz w:val="24"/>
          <w:szCs w:val="24"/>
        </w:rPr>
        <w:t xml:space="preserve">zinātnes bāzes finansējuma normatīvā regulējuma </w:t>
      </w:r>
      <w:r w:rsidR="002A7F31" w:rsidRPr="006913F3">
        <w:rPr>
          <w:rFonts w:ascii="Times New Roman" w:hAnsi="Times New Roman" w:cs="Times New Roman"/>
          <w:sz w:val="24"/>
          <w:szCs w:val="24"/>
        </w:rPr>
        <w:t xml:space="preserve">aprēķinu formulu. 12 gadījumos ir bijis nozīmīgs </w:t>
      </w:r>
      <w:r w:rsidR="00A52B3A">
        <w:rPr>
          <w:rFonts w:ascii="Times New Roman" w:hAnsi="Times New Roman" w:cs="Times New Roman"/>
          <w:sz w:val="24"/>
          <w:szCs w:val="24"/>
        </w:rPr>
        <w:t xml:space="preserve">zinātens </w:t>
      </w:r>
      <w:r w:rsidR="002A7F31" w:rsidRPr="006913F3">
        <w:rPr>
          <w:rFonts w:ascii="Times New Roman" w:hAnsi="Times New Roman" w:cs="Times New Roman"/>
          <w:sz w:val="24"/>
          <w:szCs w:val="24"/>
        </w:rPr>
        <w:t>bāzes finansējuma samazinājums 1 gada ietvaros (maksimums – par 23 % mazāk), kurš arī apskatot</w:t>
      </w:r>
      <w:r w:rsidR="00A52B3A">
        <w:rPr>
          <w:rFonts w:ascii="Times New Roman" w:hAnsi="Times New Roman" w:cs="Times New Roman"/>
          <w:sz w:val="24"/>
          <w:szCs w:val="24"/>
        </w:rPr>
        <w:t xml:space="preserve"> zinātnisko</w:t>
      </w:r>
      <w:r w:rsidR="002A7F31" w:rsidRPr="006913F3">
        <w:rPr>
          <w:rFonts w:ascii="Times New Roman" w:hAnsi="Times New Roman" w:cs="Times New Roman"/>
          <w:sz w:val="24"/>
          <w:szCs w:val="24"/>
        </w:rPr>
        <w:t xml:space="preserve"> institūciju rezultātus ir maz saistīts ar </w:t>
      </w:r>
      <w:r w:rsidR="00A52B3A">
        <w:rPr>
          <w:rFonts w:ascii="Times New Roman" w:hAnsi="Times New Roman" w:cs="Times New Roman"/>
          <w:sz w:val="24"/>
          <w:szCs w:val="24"/>
        </w:rPr>
        <w:t xml:space="preserve">šo </w:t>
      </w:r>
      <w:r w:rsidR="002A7F31" w:rsidRPr="006913F3">
        <w:rPr>
          <w:rFonts w:ascii="Times New Roman" w:hAnsi="Times New Roman" w:cs="Times New Roman"/>
          <w:sz w:val="24"/>
          <w:szCs w:val="24"/>
        </w:rPr>
        <w:t xml:space="preserve">institūciju efektivitāti snieguma rādītājos, bet </w:t>
      </w:r>
      <w:r w:rsidR="002A7F31" w:rsidRPr="006913F3">
        <w:rPr>
          <w:rFonts w:ascii="Times New Roman" w:hAnsi="Times New Roman" w:cs="Times New Roman"/>
          <w:sz w:val="24"/>
          <w:szCs w:val="24"/>
        </w:rPr>
        <w:lastRenderedPageBreak/>
        <w:t xml:space="preserve">primāri saistīts ar strauju </w:t>
      </w:r>
      <w:r w:rsidR="00D3292C" w:rsidRPr="006913F3">
        <w:rPr>
          <w:rFonts w:ascii="Times New Roman" w:hAnsi="Times New Roman" w:cs="Times New Roman"/>
          <w:sz w:val="24"/>
          <w:szCs w:val="24"/>
        </w:rPr>
        <w:t xml:space="preserve">zinātnisko darbinieku PLE apmēra samazināšanos (piemēram, īstenoto P&amp;A projektu skaita straujš samazinājums). Turklāt gadījumi, kuros </w:t>
      </w:r>
      <w:r w:rsidR="00A52B3A">
        <w:rPr>
          <w:rFonts w:ascii="Times New Roman" w:hAnsi="Times New Roman" w:cs="Times New Roman"/>
          <w:sz w:val="24"/>
          <w:szCs w:val="24"/>
        </w:rPr>
        <w:t xml:space="preserve">zinātniskajām </w:t>
      </w:r>
      <w:r w:rsidR="00D3292C" w:rsidRPr="006913F3">
        <w:rPr>
          <w:rFonts w:ascii="Times New Roman" w:hAnsi="Times New Roman" w:cs="Times New Roman"/>
          <w:sz w:val="24"/>
          <w:szCs w:val="24"/>
        </w:rPr>
        <w:t>institūcijām ir bijis ļoti liels</w:t>
      </w:r>
      <w:r w:rsidR="00A52B3A">
        <w:rPr>
          <w:rFonts w:ascii="Times New Roman" w:hAnsi="Times New Roman" w:cs="Times New Roman"/>
          <w:sz w:val="24"/>
          <w:szCs w:val="24"/>
        </w:rPr>
        <w:t xml:space="preserve"> zinātnes</w:t>
      </w:r>
      <w:r w:rsidR="00D3292C" w:rsidRPr="006913F3">
        <w:rPr>
          <w:rFonts w:ascii="Times New Roman" w:hAnsi="Times New Roman" w:cs="Times New Roman"/>
          <w:sz w:val="24"/>
          <w:szCs w:val="24"/>
        </w:rPr>
        <w:t xml:space="preserve"> bāzes finansējuma apmēra samazinājums gada laikā nav saistīts ar </w:t>
      </w:r>
      <w:r w:rsidR="00A52B3A">
        <w:rPr>
          <w:rFonts w:ascii="Times New Roman" w:hAnsi="Times New Roman" w:cs="Times New Roman"/>
          <w:sz w:val="24"/>
          <w:szCs w:val="24"/>
        </w:rPr>
        <w:t xml:space="preserve">šo </w:t>
      </w:r>
      <w:r w:rsidR="00D3292C" w:rsidRPr="006913F3">
        <w:rPr>
          <w:rFonts w:ascii="Times New Roman" w:hAnsi="Times New Roman" w:cs="Times New Roman"/>
          <w:sz w:val="24"/>
          <w:szCs w:val="24"/>
        </w:rPr>
        <w:t xml:space="preserve">institūciju zinātniskās darbības kvalitāti, ko apliecina tas, ka </w:t>
      </w:r>
      <w:r w:rsidR="00A52B3A">
        <w:rPr>
          <w:rFonts w:ascii="Times New Roman" w:hAnsi="Times New Roman" w:cs="Times New Roman"/>
          <w:sz w:val="24"/>
          <w:szCs w:val="24"/>
        </w:rPr>
        <w:t xml:space="preserve">zinātniskās </w:t>
      </w:r>
      <w:r w:rsidR="00D3292C" w:rsidRPr="006913F3">
        <w:rPr>
          <w:rFonts w:ascii="Times New Roman" w:hAnsi="Times New Roman" w:cs="Times New Roman"/>
          <w:sz w:val="24"/>
          <w:szCs w:val="24"/>
        </w:rPr>
        <w:t xml:space="preserve">institūcijas ar vislielāko </w:t>
      </w:r>
      <w:r w:rsidR="00A52B3A">
        <w:rPr>
          <w:rFonts w:ascii="Times New Roman" w:hAnsi="Times New Roman" w:cs="Times New Roman"/>
          <w:sz w:val="24"/>
          <w:szCs w:val="24"/>
        </w:rPr>
        <w:t xml:space="preserve">zinātnes </w:t>
      </w:r>
      <w:r w:rsidR="00D3292C" w:rsidRPr="006913F3">
        <w:rPr>
          <w:rFonts w:ascii="Times New Roman" w:hAnsi="Times New Roman" w:cs="Times New Roman"/>
          <w:sz w:val="24"/>
          <w:szCs w:val="24"/>
        </w:rPr>
        <w:t xml:space="preserve">bāzes finansējuma samazinājumu gada laikā ir gan tādas, kurām 2013. un 2019.gada novērtējumā ir bijis ļoti augsts </w:t>
      </w:r>
      <w:r w:rsidR="006913F3" w:rsidRPr="006913F3">
        <w:rPr>
          <w:rFonts w:ascii="Times New Roman" w:hAnsi="Times New Roman" w:cs="Times New Roman"/>
          <w:sz w:val="24"/>
          <w:szCs w:val="24"/>
        </w:rPr>
        <w:t xml:space="preserve">vērtējums </w:t>
      </w:r>
      <w:r w:rsidR="00D3292C" w:rsidRPr="006913F3">
        <w:rPr>
          <w:rFonts w:ascii="Times New Roman" w:hAnsi="Times New Roman" w:cs="Times New Roman"/>
          <w:sz w:val="24"/>
          <w:szCs w:val="24"/>
        </w:rPr>
        <w:t>(4 un 5)</w:t>
      </w:r>
      <w:r w:rsidR="006913F3" w:rsidRPr="006913F3">
        <w:rPr>
          <w:rFonts w:ascii="Times New Roman" w:hAnsi="Times New Roman" w:cs="Times New Roman"/>
          <w:sz w:val="24"/>
          <w:szCs w:val="24"/>
        </w:rPr>
        <w:t>,</w:t>
      </w:r>
      <w:r w:rsidR="00D3292C" w:rsidRPr="006913F3">
        <w:rPr>
          <w:rFonts w:ascii="Times New Roman" w:hAnsi="Times New Roman" w:cs="Times New Roman"/>
          <w:sz w:val="24"/>
          <w:szCs w:val="24"/>
        </w:rPr>
        <w:t xml:space="preserve"> kā arī tādas, kurām caurmērā novērtējums ir bijis daudz zemāks.</w:t>
      </w:r>
    </w:p>
    <w:p w14:paraId="27E7E8AE" w14:textId="59B9B22F" w:rsidR="00D3292C" w:rsidRPr="006913F3" w:rsidRDefault="00D3292C" w:rsidP="00277DB6">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5 gadījumos </w:t>
      </w:r>
      <w:r w:rsidR="00A52B3A">
        <w:rPr>
          <w:rFonts w:ascii="Times New Roman" w:hAnsi="Times New Roman" w:cs="Times New Roman"/>
          <w:sz w:val="24"/>
          <w:szCs w:val="24"/>
        </w:rPr>
        <w:t xml:space="preserve">zinātnisko </w:t>
      </w:r>
      <w:r w:rsidRPr="006913F3">
        <w:rPr>
          <w:rFonts w:ascii="Times New Roman" w:hAnsi="Times New Roman" w:cs="Times New Roman"/>
          <w:sz w:val="24"/>
          <w:szCs w:val="24"/>
        </w:rPr>
        <w:t>institūciju</w:t>
      </w:r>
      <w:r w:rsidR="006913F3" w:rsidRPr="006913F3">
        <w:rPr>
          <w:rFonts w:ascii="Times New Roman" w:hAnsi="Times New Roman" w:cs="Times New Roman"/>
          <w:sz w:val="24"/>
          <w:szCs w:val="24"/>
        </w:rPr>
        <w:t xml:space="preserve"> </w:t>
      </w:r>
      <w:r w:rsidR="00A52B3A">
        <w:rPr>
          <w:rFonts w:ascii="Times New Roman" w:hAnsi="Times New Roman" w:cs="Times New Roman"/>
          <w:sz w:val="24"/>
          <w:szCs w:val="24"/>
        </w:rPr>
        <w:t xml:space="preserve">zinatnes </w:t>
      </w:r>
      <w:r w:rsidR="006913F3" w:rsidRPr="006913F3">
        <w:rPr>
          <w:rFonts w:ascii="Times New Roman" w:hAnsi="Times New Roman" w:cs="Times New Roman"/>
          <w:sz w:val="24"/>
          <w:szCs w:val="24"/>
        </w:rPr>
        <w:t>bāzes finansējums ir gada laikā</w:t>
      </w:r>
      <w:r w:rsidRPr="006913F3">
        <w:rPr>
          <w:rFonts w:ascii="Times New Roman" w:hAnsi="Times New Roman" w:cs="Times New Roman"/>
          <w:sz w:val="24"/>
          <w:szCs w:val="24"/>
        </w:rPr>
        <w:t xml:space="preserve"> pieaudzis &gt; 30 % (t.sk. 4 gadījumos &gt; 100 %), kas ir specifiski bijis saistīts ar Kultūras ministrijas padotībā esošo</w:t>
      </w:r>
      <w:r w:rsidR="00A52B3A">
        <w:rPr>
          <w:rFonts w:ascii="Times New Roman" w:hAnsi="Times New Roman" w:cs="Times New Roman"/>
          <w:sz w:val="24"/>
          <w:szCs w:val="24"/>
        </w:rPr>
        <w:t xml:space="preserve"> valsts augstkolām jauna statusa iegūšanu, tas ir tās kļuva arī</w:t>
      </w:r>
      <w:r w:rsidRPr="006913F3">
        <w:rPr>
          <w:rFonts w:ascii="Times New Roman" w:hAnsi="Times New Roman" w:cs="Times New Roman"/>
          <w:sz w:val="24"/>
          <w:szCs w:val="24"/>
        </w:rPr>
        <w:t xml:space="preserve"> </w:t>
      </w:r>
      <w:r w:rsidR="00A52B3A">
        <w:rPr>
          <w:rFonts w:ascii="Times New Roman" w:hAnsi="Times New Roman" w:cs="Times New Roman"/>
          <w:sz w:val="24"/>
          <w:szCs w:val="24"/>
        </w:rPr>
        <w:t xml:space="preserve">zinātniskās </w:t>
      </w:r>
      <w:r w:rsidRPr="006913F3">
        <w:rPr>
          <w:rFonts w:ascii="Times New Roman" w:hAnsi="Times New Roman" w:cs="Times New Roman"/>
          <w:sz w:val="24"/>
          <w:szCs w:val="24"/>
        </w:rPr>
        <w:t>institūcij</w:t>
      </w:r>
      <w:r w:rsidR="00A52B3A">
        <w:rPr>
          <w:rFonts w:ascii="Times New Roman" w:hAnsi="Times New Roman" w:cs="Times New Roman"/>
          <w:sz w:val="24"/>
          <w:szCs w:val="24"/>
        </w:rPr>
        <w:t>as</w:t>
      </w:r>
      <w:r w:rsidRPr="006913F3">
        <w:rPr>
          <w:rFonts w:ascii="Times New Roman" w:hAnsi="Times New Roman" w:cs="Times New Roman"/>
          <w:sz w:val="24"/>
          <w:szCs w:val="24"/>
        </w:rPr>
        <w:t xml:space="preserve">, nevis to struktūrvienībām kļūstot par </w:t>
      </w:r>
      <w:r w:rsidR="00A52B3A">
        <w:rPr>
          <w:rFonts w:ascii="Times New Roman" w:hAnsi="Times New Roman" w:cs="Times New Roman"/>
          <w:sz w:val="24"/>
          <w:szCs w:val="24"/>
        </w:rPr>
        <w:t>zinātniskajiem insitūtiem</w:t>
      </w:r>
      <w:r w:rsidRPr="006913F3">
        <w:rPr>
          <w:rFonts w:ascii="Times New Roman" w:hAnsi="Times New Roman" w:cs="Times New Roman"/>
          <w:sz w:val="24"/>
          <w:szCs w:val="24"/>
        </w:rPr>
        <w:t xml:space="preserve">, kas šīm </w:t>
      </w:r>
      <w:r w:rsidR="00A52B3A" w:rsidRPr="006913F3">
        <w:rPr>
          <w:rFonts w:ascii="Times New Roman" w:hAnsi="Times New Roman" w:cs="Times New Roman"/>
          <w:sz w:val="24"/>
          <w:szCs w:val="24"/>
        </w:rPr>
        <w:t>Kul</w:t>
      </w:r>
      <w:r w:rsidR="00A52B3A">
        <w:rPr>
          <w:rFonts w:ascii="Times New Roman" w:hAnsi="Times New Roman" w:cs="Times New Roman"/>
          <w:sz w:val="24"/>
          <w:szCs w:val="24"/>
        </w:rPr>
        <w:t>tūras ministrijas padotībā esošajām augstkolām</w:t>
      </w:r>
      <w:r w:rsidR="00A52B3A" w:rsidRPr="006913F3">
        <w:rPr>
          <w:rFonts w:ascii="Times New Roman" w:hAnsi="Times New Roman" w:cs="Times New Roman"/>
          <w:sz w:val="24"/>
          <w:szCs w:val="24"/>
        </w:rPr>
        <w:t xml:space="preserve"> </w:t>
      </w:r>
      <w:r w:rsidRPr="006913F3">
        <w:rPr>
          <w:rFonts w:ascii="Times New Roman" w:hAnsi="Times New Roman" w:cs="Times New Roman"/>
          <w:sz w:val="24"/>
          <w:szCs w:val="24"/>
        </w:rPr>
        <w:t xml:space="preserve">ir nozīmīgi palielinājis finansējumu </w:t>
      </w:r>
      <w:r w:rsidR="004D3982">
        <w:rPr>
          <w:rFonts w:ascii="Times New Roman" w:hAnsi="Times New Roman" w:cs="Times New Roman"/>
          <w:sz w:val="24"/>
          <w:szCs w:val="24"/>
        </w:rPr>
        <w:t>atbilstoši atbilstībai</w:t>
      </w:r>
      <w:r w:rsidR="00A52B3A">
        <w:rPr>
          <w:rFonts w:ascii="Times New Roman" w:hAnsi="Times New Roman" w:cs="Times New Roman"/>
          <w:sz w:val="24"/>
          <w:szCs w:val="24"/>
        </w:rPr>
        <w:t xml:space="preserve"> zinātnes</w:t>
      </w:r>
      <w:r w:rsidRPr="006913F3">
        <w:rPr>
          <w:rFonts w:ascii="Times New Roman" w:hAnsi="Times New Roman" w:cs="Times New Roman"/>
          <w:sz w:val="24"/>
          <w:szCs w:val="24"/>
        </w:rPr>
        <w:t xml:space="preserve"> bāzes finansējuma kritērijam</w:t>
      </w:r>
      <w:r w:rsidR="00277DB6">
        <w:rPr>
          <w:rStyle w:val="FootnoteReference"/>
          <w:rFonts w:ascii="Times New Roman" w:hAnsi="Times New Roman" w:cs="Times New Roman"/>
          <w:sz w:val="24"/>
          <w:szCs w:val="24"/>
        </w:rPr>
        <w:footnoteReference w:id="18"/>
      </w:r>
      <w:r w:rsidRPr="006913F3">
        <w:rPr>
          <w:rFonts w:ascii="Times New Roman" w:hAnsi="Times New Roman" w:cs="Times New Roman"/>
          <w:sz w:val="24"/>
          <w:szCs w:val="24"/>
        </w:rPr>
        <w:t xml:space="preserve"> par pētnieciskā darba daļēju nodrošināšan</w:t>
      </w:r>
      <w:r w:rsidR="006913F3" w:rsidRPr="006913F3">
        <w:rPr>
          <w:rFonts w:ascii="Times New Roman" w:hAnsi="Times New Roman" w:cs="Times New Roman"/>
          <w:sz w:val="24"/>
          <w:szCs w:val="24"/>
        </w:rPr>
        <w:t>u</w:t>
      </w:r>
      <w:r w:rsidRPr="006913F3">
        <w:rPr>
          <w:rFonts w:ascii="Times New Roman" w:hAnsi="Times New Roman" w:cs="Times New Roman"/>
          <w:sz w:val="24"/>
          <w:szCs w:val="24"/>
        </w:rPr>
        <w:t xml:space="preserve"> valsts dibināto augstskolu akadēmiskajam personālam – profesoriem, asociētajiem profesoriem un docentiem, kas veic zinātnisko darbību.</w:t>
      </w:r>
    </w:p>
    <w:p w14:paraId="01B45FEA" w14:textId="0DC8E26F" w:rsidR="00D3292C" w:rsidRPr="006913F3" w:rsidRDefault="00D3292C" w:rsidP="00277DB6">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Kopumā, apskatot iemeslus izmaiņām</w:t>
      </w:r>
      <w:r w:rsidR="00A52B3A">
        <w:rPr>
          <w:rFonts w:ascii="Times New Roman" w:hAnsi="Times New Roman" w:cs="Times New Roman"/>
          <w:sz w:val="24"/>
          <w:szCs w:val="24"/>
        </w:rPr>
        <w:t xml:space="preserve"> zinā</w:t>
      </w:r>
      <w:r w:rsidR="00204CE1">
        <w:rPr>
          <w:rFonts w:ascii="Times New Roman" w:hAnsi="Times New Roman" w:cs="Times New Roman"/>
          <w:sz w:val="24"/>
          <w:szCs w:val="24"/>
        </w:rPr>
        <w:t>tnes</w:t>
      </w:r>
      <w:r w:rsidR="00FC3D7E" w:rsidRPr="006913F3">
        <w:rPr>
          <w:rFonts w:ascii="Times New Roman" w:hAnsi="Times New Roman" w:cs="Times New Roman"/>
          <w:sz w:val="24"/>
          <w:szCs w:val="24"/>
        </w:rPr>
        <w:t xml:space="preserve"> bāzes finansējuma apmērā zinātniskajām institūcijām – galvenokārt izmaiņas ir saistītas ar zinātnisko darbinieku (īpaši zinātniskā personāla) izmaiņām starp gadiem, nevis izmaiņām</w:t>
      </w:r>
      <w:r w:rsidR="00277DB6">
        <w:rPr>
          <w:rFonts w:ascii="Times New Roman" w:hAnsi="Times New Roman" w:cs="Times New Roman"/>
          <w:sz w:val="24"/>
          <w:szCs w:val="24"/>
        </w:rPr>
        <w:t xml:space="preserve"> zinātnes</w:t>
      </w:r>
      <w:r w:rsidR="00FC3D7E" w:rsidRPr="006913F3">
        <w:rPr>
          <w:rFonts w:ascii="Times New Roman" w:hAnsi="Times New Roman" w:cs="Times New Roman"/>
          <w:sz w:val="24"/>
          <w:szCs w:val="24"/>
        </w:rPr>
        <w:t xml:space="preserve"> snieguma rādītājos, kas arī labi iezīmē vienu no galvenajiem esošās aprēķinu formulas</w:t>
      </w:r>
      <w:r w:rsidR="00277DB6">
        <w:rPr>
          <w:rStyle w:val="FootnoteReference"/>
          <w:rFonts w:ascii="Times New Roman" w:hAnsi="Times New Roman" w:cs="Times New Roman"/>
          <w:sz w:val="24"/>
          <w:szCs w:val="24"/>
        </w:rPr>
        <w:footnoteReference w:id="19"/>
      </w:r>
      <w:r w:rsidR="00FC3D7E" w:rsidRPr="006913F3">
        <w:rPr>
          <w:rFonts w:ascii="Times New Roman" w:hAnsi="Times New Roman" w:cs="Times New Roman"/>
          <w:sz w:val="24"/>
          <w:szCs w:val="24"/>
        </w:rPr>
        <w:t xml:space="preserve"> trūkumiem, kura </w:t>
      </w:r>
      <w:r w:rsidR="00BD1876" w:rsidRPr="006913F3">
        <w:rPr>
          <w:rFonts w:ascii="Times New Roman" w:hAnsi="Times New Roman" w:cs="Times New Roman"/>
          <w:sz w:val="24"/>
          <w:szCs w:val="24"/>
        </w:rPr>
        <w:t>vairākas reizes</w:t>
      </w:r>
      <w:r w:rsidR="00FC3D7E" w:rsidRPr="006913F3">
        <w:rPr>
          <w:rFonts w:ascii="Times New Roman" w:hAnsi="Times New Roman" w:cs="Times New Roman"/>
          <w:sz w:val="24"/>
          <w:szCs w:val="24"/>
        </w:rPr>
        <w:t xml:space="preserve"> </w:t>
      </w:r>
      <w:r w:rsidR="00BD1876" w:rsidRPr="006913F3">
        <w:rPr>
          <w:rFonts w:ascii="Times New Roman" w:hAnsi="Times New Roman" w:cs="Times New Roman"/>
          <w:sz w:val="24"/>
          <w:szCs w:val="24"/>
        </w:rPr>
        <w:t>intensīvāk</w:t>
      </w:r>
      <w:r w:rsidR="00FC3D7E" w:rsidRPr="006913F3">
        <w:rPr>
          <w:rFonts w:ascii="Times New Roman" w:hAnsi="Times New Roman" w:cs="Times New Roman"/>
          <w:sz w:val="24"/>
          <w:szCs w:val="24"/>
        </w:rPr>
        <w:t xml:space="preserve"> stimulē</w:t>
      </w:r>
      <w:r w:rsidR="0029599B">
        <w:rPr>
          <w:rFonts w:ascii="Times New Roman" w:hAnsi="Times New Roman" w:cs="Times New Roman"/>
          <w:sz w:val="24"/>
          <w:szCs w:val="24"/>
        </w:rPr>
        <w:t xml:space="preserve"> zinātnisko</w:t>
      </w:r>
      <w:r w:rsidR="00FC3D7E" w:rsidRPr="006913F3">
        <w:rPr>
          <w:rFonts w:ascii="Times New Roman" w:hAnsi="Times New Roman" w:cs="Times New Roman"/>
          <w:sz w:val="24"/>
          <w:szCs w:val="24"/>
        </w:rPr>
        <w:t xml:space="preserve"> institūciju </w:t>
      </w:r>
      <w:r w:rsidR="00B251D4" w:rsidRPr="006913F3">
        <w:rPr>
          <w:rFonts w:ascii="Times New Roman" w:hAnsi="Times New Roman" w:cs="Times New Roman"/>
          <w:sz w:val="24"/>
          <w:szCs w:val="24"/>
        </w:rPr>
        <w:t>darb</w:t>
      </w:r>
      <w:r w:rsidR="006913F3" w:rsidRPr="006913F3">
        <w:rPr>
          <w:rFonts w:ascii="Times New Roman" w:hAnsi="Times New Roman" w:cs="Times New Roman"/>
          <w:sz w:val="24"/>
          <w:szCs w:val="24"/>
        </w:rPr>
        <w:t>ības stratēģiju noturēt esošo</w:t>
      </w:r>
      <w:r w:rsidR="00B251D4" w:rsidRPr="006913F3">
        <w:rPr>
          <w:rFonts w:ascii="Times New Roman" w:hAnsi="Times New Roman" w:cs="Times New Roman"/>
          <w:sz w:val="24"/>
          <w:szCs w:val="24"/>
        </w:rPr>
        <w:t xml:space="preserve"> darbinieku </w:t>
      </w:r>
      <w:r w:rsidR="006913F3" w:rsidRPr="006913F3">
        <w:rPr>
          <w:rFonts w:ascii="Times New Roman" w:hAnsi="Times New Roman" w:cs="Times New Roman"/>
          <w:sz w:val="24"/>
          <w:szCs w:val="24"/>
        </w:rPr>
        <w:t>slodzes</w:t>
      </w:r>
      <w:r w:rsidR="00B251D4" w:rsidRPr="006913F3">
        <w:rPr>
          <w:rFonts w:ascii="Times New Roman" w:hAnsi="Times New Roman" w:cs="Times New Roman"/>
          <w:sz w:val="24"/>
          <w:szCs w:val="24"/>
        </w:rPr>
        <w:t xml:space="preserve"> intensitāti</w:t>
      </w:r>
      <w:r w:rsidR="00FC3D7E" w:rsidRPr="006913F3">
        <w:rPr>
          <w:rFonts w:ascii="Times New Roman" w:hAnsi="Times New Roman" w:cs="Times New Roman"/>
          <w:sz w:val="24"/>
          <w:szCs w:val="24"/>
        </w:rPr>
        <w:t xml:space="preserve">, nevis uz </w:t>
      </w:r>
      <w:r w:rsidR="00277DB6">
        <w:rPr>
          <w:rFonts w:ascii="Times New Roman" w:hAnsi="Times New Roman" w:cs="Times New Roman"/>
          <w:sz w:val="24"/>
          <w:szCs w:val="24"/>
        </w:rPr>
        <w:t xml:space="preserve">zinātnes </w:t>
      </w:r>
      <w:r w:rsidR="00FC3D7E" w:rsidRPr="006913F3">
        <w:rPr>
          <w:rFonts w:ascii="Times New Roman" w:hAnsi="Times New Roman" w:cs="Times New Roman"/>
          <w:sz w:val="24"/>
          <w:szCs w:val="24"/>
        </w:rPr>
        <w:t xml:space="preserve">sniegumu orientētu </w:t>
      </w:r>
      <w:r w:rsidR="00B251D4" w:rsidRPr="006913F3">
        <w:rPr>
          <w:rFonts w:ascii="Times New Roman" w:hAnsi="Times New Roman" w:cs="Times New Roman"/>
          <w:sz w:val="24"/>
          <w:szCs w:val="24"/>
        </w:rPr>
        <w:t>rīcību</w:t>
      </w:r>
      <w:r w:rsidR="00FC3D7E" w:rsidRPr="006913F3">
        <w:rPr>
          <w:rFonts w:ascii="Times New Roman" w:hAnsi="Times New Roman" w:cs="Times New Roman"/>
          <w:sz w:val="24"/>
          <w:szCs w:val="24"/>
        </w:rPr>
        <w:t>.</w:t>
      </w:r>
    </w:p>
    <w:p w14:paraId="22A07949" w14:textId="77777777" w:rsidR="00204CE1" w:rsidRPr="006913F3" w:rsidRDefault="00204CE1" w:rsidP="00204CE1">
      <w:pPr>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913F3">
        <w:rPr>
          <w:rFonts w:ascii="Times New Roman" w:hAnsi="Times New Roman" w:cs="Times New Roman"/>
          <w:b/>
          <w:sz w:val="24"/>
          <w:szCs w:val="24"/>
        </w:rPr>
        <w:t>Zinātnes bāzes finansējuma modeļa pilnveide</w:t>
      </w:r>
    </w:p>
    <w:p w14:paraId="015999E6" w14:textId="77777777" w:rsidR="00204CE1" w:rsidRPr="006913F3" w:rsidRDefault="00204CE1" w:rsidP="00204CE1">
      <w:pPr>
        <w:jc w:val="center"/>
        <w:rPr>
          <w:rFonts w:ascii="Times New Roman" w:hAnsi="Times New Roman" w:cs="Times New Roman"/>
          <w:sz w:val="24"/>
          <w:szCs w:val="24"/>
        </w:rPr>
      </w:pPr>
      <w:r w:rsidRPr="006913F3">
        <w:rPr>
          <w:rFonts w:ascii="Times New Roman" w:hAnsi="Times New Roman" w:cs="Times New Roman"/>
          <w:noProof/>
          <w:szCs w:val="24"/>
          <w:lang w:val="en-GB" w:eastAsia="en-GB"/>
        </w:rPr>
        <w:drawing>
          <wp:inline distT="0" distB="0" distL="0" distR="0" wp14:anchorId="57AFE6C7" wp14:editId="12353E7B">
            <wp:extent cx="5433060" cy="288036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71BEC1" w14:textId="4581137F" w:rsidR="00204CE1" w:rsidRPr="006913F3" w:rsidRDefault="00204CE1" w:rsidP="00204CE1">
      <w:pPr>
        <w:jc w:val="both"/>
        <w:rPr>
          <w:rFonts w:ascii="Times New Roman" w:hAnsi="Times New Roman" w:cs="Times New Roman"/>
          <w:sz w:val="24"/>
          <w:szCs w:val="24"/>
        </w:rPr>
      </w:pPr>
      <w:r w:rsidRPr="006913F3">
        <w:rPr>
          <w:rFonts w:ascii="Times New Roman" w:hAnsi="Times New Roman" w:cs="Times New Roman"/>
          <w:b/>
          <w:sz w:val="24"/>
          <w:szCs w:val="24"/>
        </w:rPr>
        <w:t>8.</w:t>
      </w:r>
      <w:r>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Pr="006913F3">
        <w:rPr>
          <w:rFonts w:ascii="Times New Roman" w:hAnsi="Times New Roman" w:cs="Times New Roman"/>
          <w:sz w:val="24"/>
          <w:szCs w:val="24"/>
        </w:rPr>
        <w:t xml:space="preserve"> Bāzes finansējums </w:t>
      </w:r>
      <w:r>
        <w:rPr>
          <w:rFonts w:ascii="Times New Roman" w:hAnsi="Times New Roman" w:cs="Times New Roman"/>
          <w:sz w:val="24"/>
          <w:szCs w:val="24"/>
        </w:rPr>
        <w:t>–</w:t>
      </w:r>
      <w:r w:rsidRPr="006913F3">
        <w:rPr>
          <w:rFonts w:ascii="Times New Roman" w:hAnsi="Times New Roman" w:cs="Times New Roman"/>
          <w:sz w:val="24"/>
          <w:szCs w:val="24"/>
        </w:rPr>
        <w:t xml:space="preserve"> es</w:t>
      </w:r>
      <w:r w:rsidR="00277DB6">
        <w:rPr>
          <w:rFonts w:ascii="Times New Roman" w:hAnsi="Times New Roman" w:cs="Times New Roman"/>
          <w:sz w:val="24"/>
          <w:szCs w:val="24"/>
        </w:rPr>
        <w:t>o</w:t>
      </w:r>
      <w:r w:rsidRPr="006913F3">
        <w:rPr>
          <w:rFonts w:ascii="Times New Roman" w:hAnsi="Times New Roman" w:cs="Times New Roman"/>
          <w:sz w:val="24"/>
          <w:szCs w:val="24"/>
        </w:rPr>
        <w:t xml:space="preserve">šais un </w:t>
      </w:r>
      <w:r w:rsidR="00277DB6">
        <w:rPr>
          <w:rFonts w:ascii="Times New Roman" w:hAnsi="Times New Roman" w:cs="Times New Roman"/>
          <w:sz w:val="24"/>
          <w:szCs w:val="24"/>
        </w:rPr>
        <w:t xml:space="preserve">ZTAIP </w:t>
      </w:r>
      <w:r w:rsidRPr="006913F3">
        <w:rPr>
          <w:rFonts w:ascii="Times New Roman" w:hAnsi="Times New Roman" w:cs="Times New Roman"/>
          <w:sz w:val="24"/>
          <w:szCs w:val="24"/>
        </w:rPr>
        <w:t xml:space="preserve"> paredzētais (milj. </w:t>
      </w:r>
      <w:r w:rsidRPr="00277DB6">
        <w:rPr>
          <w:rFonts w:ascii="Times New Roman" w:hAnsi="Times New Roman" w:cs="Times New Roman"/>
          <w:i/>
          <w:sz w:val="24"/>
          <w:szCs w:val="24"/>
        </w:rPr>
        <w:t>euro</w:t>
      </w:r>
      <w:r w:rsidRPr="006913F3">
        <w:rPr>
          <w:rFonts w:ascii="Times New Roman" w:hAnsi="Times New Roman" w:cs="Times New Roman"/>
          <w:sz w:val="24"/>
          <w:szCs w:val="24"/>
        </w:rPr>
        <w:t>) (IZM, IZM aprēķini, ZTAIP)</w:t>
      </w:r>
    </w:p>
    <w:p w14:paraId="36F28475" w14:textId="77777777" w:rsidR="002E1887" w:rsidRPr="006913F3" w:rsidRDefault="002E1887" w:rsidP="00277DB6">
      <w:pPr>
        <w:spacing w:after="0" w:line="240" w:lineRule="auto"/>
        <w:jc w:val="both"/>
        <w:rPr>
          <w:rFonts w:ascii="Times New Roman" w:hAnsi="Times New Roman" w:cs="Times New Roman"/>
          <w:sz w:val="24"/>
          <w:szCs w:val="24"/>
        </w:rPr>
      </w:pPr>
    </w:p>
    <w:p w14:paraId="42D6E7D5" w14:textId="286FE36E" w:rsidR="006507AA" w:rsidRPr="006913F3" w:rsidRDefault="006507AA">
      <w:pPr>
        <w:rPr>
          <w:rFonts w:ascii="Times New Roman" w:hAnsi="Times New Roman" w:cs="Times New Roman"/>
          <w:sz w:val="24"/>
          <w:szCs w:val="24"/>
        </w:rPr>
      </w:pPr>
      <w:r w:rsidRPr="006913F3">
        <w:rPr>
          <w:rFonts w:ascii="Times New Roman" w:hAnsi="Times New Roman" w:cs="Times New Roman"/>
          <w:sz w:val="24"/>
          <w:szCs w:val="24"/>
        </w:rPr>
        <w:br w:type="page"/>
      </w:r>
    </w:p>
    <w:p w14:paraId="120CFDA1" w14:textId="21233094" w:rsidR="004D3982" w:rsidRDefault="006507AA" w:rsidP="00277DB6">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lastRenderedPageBreak/>
        <w:t>Izmaiņām zinātnes bāzes</w:t>
      </w:r>
      <w:r w:rsidR="006913F3">
        <w:rPr>
          <w:rFonts w:ascii="Times New Roman" w:hAnsi="Times New Roman" w:cs="Times New Roman"/>
          <w:sz w:val="24"/>
          <w:szCs w:val="24"/>
        </w:rPr>
        <w:t xml:space="preserve"> finansējumā ir jābūt sasaistītā</w:t>
      </w:r>
      <w:r w:rsidRPr="006913F3">
        <w:rPr>
          <w:rFonts w:ascii="Times New Roman" w:hAnsi="Times New Roman" w:cs="Times New Roman"/>
          <w:sz w:val="24"/>
          <w:szCs w:val="24"/>
        </w:rPr>
        <w:t xml:space="preserve">m ar </w:t>
      </w:r>
      <w:r w:rsidR="00277DB6">
        <w:rPr>
          <w:rFonts w:ascii="Times New Roman" w:hAnsi="Times New Roman" w:cs="Times New Roman"/>
          <w:sz w:val="24"/>
          <w:szCs w:val="24"/>
        </w:rPr>
        <w:t xml:space="preserve">ZTAIP </w:t>
      </w:r>
      <w:r w:rsidRPr="006913F3">
        <w:rPr>
          <w:rFonts w:ascii="Times New Roman" w:hAnsi="Times New Roman" w:cs="Times New Roman"/>
          <w:sz w:val="24"/>
          <w:szCs w:val="24"/>
        </w:rPr>
        <w:t>pieejamo papildu finansējumu</w:t>
      </w:r>
      <w:r w:rsidR="00F73CB3" w:rsidRPr="006913F3">
        <w:rPr>
          <w:rFonts w:ascii="Times New Roman" w:hAnsi="Times New Roman" w:cs="Times New Roman"/>
          <w:sz w:val="24"/>
          <w:szCs w:val="24"/>
        </w:rPr>
        <w:t xml:space="preserve"> un p</w:t>
      </w:r>
      <w:r w:rsidRPr="006913F3">
        <w:rPr>
          <w:rFonts w:ascii="Times New Roman" w:hAnsi="Times New Roman" w:cs="Times New Roman"/>
          <w:sz w:val="24"/>
          <w:szCs w:val="24"/>
        </w:rPr>
        <w:t>apildu finansējums zinātnes bāzes f</w:t>
      </w:r>
      <w:r w:rsidR="000B0816">
        <w:rPr>
          <w:rFonts w:ascii="Times New Roman" w:hAnsi="Times New Roman" w:cs="Times New Roman"/>
          <w:sz w:val="24"/>
          <w:szCs w:val="24"/>
        </w:rPr>
        <w:t xml:space="preserve">inansējumam ir iezīmēts 40 miljonu </w:t>
      </w:r>
      <w:r w:rsidR="000B0816" w:rsidRPr="000B0816">
        <w:rPr>
          <w:rFonts w:ascii="Times New Roman" w:hAnsi="Times New Roman" w:cs="Times New Roman"/>
          <w:i/>
          <w:sz w:val="24"/>
          <w:szCs w:val="24"/>
        </w:rPr>
        <w:t>eu</w:t>
      </w:r>
      <w:r w:rsidRPr="000B0816">
        <w:rPr>
          <w:rFonts w:ascii="Times New Roman" w:hAnsi="Times New Roman" w:cs="Times New Roman"/>
          <w:i/>
          <w:sz w:val="24"/>
          <w:szCs w:val="24"/>
        </w:rPr>
        <w:t>ro</w:t>
      </w:r>
      <w:r w:rsidRPr="006913F3">
        <w:rPr>
          <w:rFonts w:ascii="Times New Roman" w:hAnsi="Times New Roman" w:cs="Times New Roman"/>
          <w:sz w:val="24"/>
          <w:szCs w:val="24"/>
        </w:rPr>
        <w:t xml:space="preserve"> apmērā 2021.</w:t>
      </w:r>
      <w:r w:rsidR="004D3982">
        <w:rPr>
          <w:rFonts w:ascii="Times New Roman" w:hAnsi="Times New Roman" w:cs="Times New Roman"/>
          <w:sz w:val="24"/>
          <w:szCs w:val="24"/>
        </w:rPr>
        <w:t>–</w:t>
      </w:r>
      <w:r w:rsidRPr="006913F3">
        <w:rPr>
          <w:rFonts w:ascii="Times New Roman" w:hAnsi="Times New Roman" w:cs="Times New Roman"/>
          <w:sz w:val="24"/>
          <w:szCs w:val="24"/>
        </w:rPr>
        <w:t>2027.</w:t>
      </w:r>
      <w:r w:rsidR="000B0816">
        <w:rPr>
          <w:rFonts w:ascii="Times New Roman" w:hAnsi="Times New Roman" w:cs="Times New Roman"/>
          <w:sz w:val="24"/>
          <w:szCs w:val="24"/>
        </w:rPr>
        <w:t xml:space="preserve"> </w:t>
      </w:r>
      <w:r w:rsidRPr="006913F3">
        <w:rPr>
          <w:rFonts w:ascii="Times New Roman" w:hAnsi="Times New Roman" w:cs="Times New Roman"/>
          <w:sz w:val="24"/>
          <w:szCs w:val="24"/>
        </w:rPr>
        <w:t>gadā (visam periodam)</w:t>
      </w:r>
      <w:r w:rsidR="00F73CB3" w:rsidRPr="006913F3">
        <w:rPr>
          <w:rFonts w:ascii="Times New Roman" w:hAnsi="Times New Roman" w:cs="Times New Roman"/>
          <w:sz w:val="24"/>
          <w:szCs w:val="24"/>
        </w:rPr>
        <w:t xml:space="preserve">. </w:t>
      </w:r>
      <w:r w:rsidRPr="006913F3">
        <w:rPr>
          <w:rFonts w:ascii="Times New Roman" w:hAnsi="Times New Roman" w:cs="Times New Roman"/>
          <w:sz w:val="24"/>
          <w:szCs w:val="24"/>
        </w:rPr>
        <w:t>Iezīmētai</w:t>
      </w:r>
      <w:r w:rsidR="00EA4EEA">
        <w:rPr>
          <w:rFonts w:ascii="Times New Roman" w:hAnsi="Times New Roman" w:cs="Times New Roman"/>
          <w:sz w:val="24"/>
          <w:szCs w:val="24"/>
        </w:rPr>
        <w:t>s papildu finansējums nav liels</w:t>
      </w:r>
      <w:r w:rsidRPr="006913F3">
        <w:rPr>
          <w:rFonts w:ascii="Times New Roman" w:hAnsi="Times New Roman" w:cs="Times New Roman"/>
          <w:sz w:val="24"/>
          <w:szCs w:val="24"/>
        </w:rPr>
        <w:t>, taču pietiekams, lai iestrādātu jaunus stimulus</w:t>
      </w:r>
      <w:r w:rsidR="0033569B">
        <w:rPr>
          <w:rFonts w:ascii="Times New Roman" w:hAnsi="Times New Roman" w:cs="Times New Roman"/>
          <w:sz w:val="24"/>
          <w:szCs w:val="24"/>
        </w:rPr>
        <w:t>,</w:t>
      </w:r>
      <w:r w:rsidRPr="006913F3">
        <w:rPr>
          <w:rFonts w:ascii="Times New Roman" w:hAnsi="Times New Roman" w:cs="Times New Roman"/>
          <w:sz w:val="24"/>
          <w:szCs w:val="24"/>
        </w:rPr>
        <w:t xml:space="preserve"> pamatojoties uz </w:t>
      </w:r>
      <w:r w:rsidR="00F73CB3" w:rsidRPr="006913F3">
        <w:rPr>
          <w:rFonts w:ascii="Times New Roman" w:hAnsi="Times New Roman" w:cs="Times New Roman"/>
          <w:sz w:val="24"/>
          <w:szCs w:val="24"/>
        </w:rPr>
        <w:t xml:space="preserve">zinātnisko institūciju starptautiskā </w:t>
      </w:r>
      <w:r w:rsidR="003B6A49">
        <w:rPr>
          <w:rFonts w:ascii="Times New Roman" w:hAnsi="Times New Roman" w:cs="Times New Roman"/>
          <w:sz w:val="24"/>
          <w:szCs w:val="24"/>
        </w:rPr>
        <w:t>novērtējuma</w:t>
      </w:r>
      <w:r w:rsidRPr="006913F3">
        <w:rPr>
          <w:rFonts w:ascii="Times New Roman" w:hAnsi="Times New Roman" w:cs="Times New Roman"/>
          <w:sz w:val="24"/>
          <w:szCs w:val="24"/>
        </w:rPr>
        <w:t xml:space="preserve"> rezultātiem</w:t>
      </w:r>
      <w:r w:rsidR="00F73CB3" w:rsidRPr="006913F3">
        <w:rPr>
          <w:rFonts w:ascii="Times New Roman" w:hAnsi="Times New Roman" w:cs="Times New Roman"/>
          <w:sz w:val="24"/>
          <w:szCs w:val="24"/>
        </w:rPr>
        <w:t>. Ņemot vērā to, ka e</w:t>
      </w:r>
      <w:r w:rsidRPr="006913F3">
        <w:rPr>
          <w:rFonts w:ascii="Times New Roman" w:hAnsi="Times New Roman" w:cs="Times New Roman"/>
          <w:sz w:val="24"/>
          <w:szCs w:val="24"/>
        </w:rPr>
        <w:t xml:space="preserve">sošais </w:t>
      </w:r>
      <w:r w:rsidR="00204CE1">
        <w:rPr>
          <w:rFonts w:ascii="Times New Roman" w:hAnsi="Times New Roman" w:cs="Times New Roman"/>
          <w:sz w:val="24"/>
          <w:szCs w:val="24"/>
        </w:rPr>
        <w:t xml:space="preserve">zinātnes </w:t>
      </w:r>
      <w:r w:rsidRPr="006913F3">
        <w:rPr>
          <w:rFonts w:ascii="Times New Roman" w:hAnsi="Times New Roman" w:cs="Times New Roman"/>
          <w:sz w:val="24"/>
          <w:szCs w:val="24"/>
        </w:rPr>
        <w:t>bāzes finansējuma mehānisms ir</w:t>
      </w:r>
      <w:r w:rsidR="00F73CB3" w:rsidRPr="006913F3">
        <w:rPr>
          <w:rFonts w:ascii="Times New Roman" w:hAnsi="Times New Roman" w:cs="Times New Roman"/>
          <w:sz w:val="24"/>
          <w:szCs w:val="24"/>
        </w:rPr>
        <w:t xml:space="preserve"> ieviests 2013.</w:t>
      </w:r>
      <w:r w:rsidR="000B0816">
        <w:rPr>
          <w:rFonts w:ascii="Times New Roman" w:hAnsi="Times New Roman" w:cs="Times New Roman"/>
          <w:sz w:val="24"/>
          <w:szCs w:val="24"/>
        </w:rPr>
        <w:t xml:space="preserve"> </w:t>
      </w:r>
      <w:r w:rsidR="00F73CB3" w:rsidRPr="006913F3">
        <w:rPr>
          <w:rFonts w:ascii="Times New Roman" w:hAnsi="Times New Roman" w:cs="Times New Roman"/>
          <w:sz w:val="24"/>
          <w:szCs w:val="24"/>
        </w:rPr>
        <w:t>gadā, šo</w:t>
      </w:r>
      <w:r w:rsidR="00B251D4" w:rsidRPr="006913F3">
        <w:rPr>
          <w:rFonts w:ascii="Times New Roman" w:hAnsi="Times New Roman" w:cs="Times New Roman"/>
          <w:sz w:val="24"/>
          <w:szCs w:val="24"/>
        </w:rPr>
        <w:t>brīd daudzos rādītājos un stimul</w:t>
      </w:r>
      <w:r w:rsidR="00F73CB3" w:rsidRPr="006913F3">
        <w:rPr>
          <w:rFonts w:ascii="Times New Roman" w:hAnsi="Times New Roman" w:cs="Times New Roman"/>
          <w:sz w:val="24"/>
          <w:szCs w:val="24"/>
        </w:rPr>
        <w:t>os tas ir būtiski</w:t>
      </w:r>
      <w:r w:rsidRPr="006913F3">
        <w:rPr>
          <w:rFonts w:ascii="Times New Roman" w:hAnsi="Times New Roman" w:cs="Times New Roman"/>
          <w:sz w:val="24"/>
          <w:szCs w:val="24"/>
        </w:rPr>
        <w:t xml:space="preserve"> novecojis un ir nepieciešams tā nopietns atjauninājums</w:t>
      </w:r>
      <w:r w:rsidR="004D3982">
        <w:rPr>
          <w:rFonts w:ascii="Times New Roman" w:hAnsi="Times New Roman" w:cs="Times New Roman"/>
          <w:sz w:val="24"/>
          <w:szCs w:val="24"/>
        </w:rPr>
        <w:t>,</w:t>
      </w:r>
      <w:r w:rsidR="00F73CB3" w:rsidRPr="006913F3">
        <w:rPr>
          <w:rFonts w:ascii="Times New Roman" w:hAnsi="Times New Roman" w:cs="Times New Roman"/>
          <w:sz w:val="24"/>
          <w:szCs w:val="24"/>
        </w:rPr>
        <w:t xml:space="preserve"> </w:t>
      </w:r>
      <w:r w:rsidR="004D3982">
        <w:rPr>
          <w:rFonts w:ascii="Times New Roman" w:hAnsi="Times New Roman" w:cs="Times New Roman"/>
          <w:sz w:val="24"/>
          <w:szCs w:val="24"/>
        </w:rPr>
        <w:t>ieviešot jaunus</w:t>
      </w:r>
      <w:r w:rsidR="00F73CB3" w:rsidRPr="006913F3">
        <w:rPr>
          <w:rFonts w:ascii="Times New Roman" w:hAnsi="Times New Roman" w:cs="Times New Roman"/>
          <w:sz w:val="24"/>
          <w:szCs w:val="24"/>
        </w:rPr>
        <w:t xml:space="preserve"> zinātnes bāzes finansējuma </w:t>
      </w:r>
      <w:r w:rsidR="00204CE1">
        <w:rPr>
          <w:rFonts w:ascii="Times New Roman" w:hAnsi="Times New Roman" w:cs="Times New Roman"/>
          <w:sz w:val="24"/>
          <w:szCs w:val="24"/>
        </w:rPr>
        <w:t>normatīvo regulējumu</w:t>
      </w:r>
      <w:r w:rsidR="00F73CB3" w:rsidRPr="006913F3">
        <w:rPr>
          <w:rFonts w:ascii="Times New Roman" w:hAnsi="Times New Roman" w:cs="Times New Roman"/>
          <w:sz w:val="24"/>
          <w:szCs w:val="24"/>
        </w:rPr>
        <w:t>.</w:t>
      </w:r>
    </w:p>
    <w:p w14:paraId="3B65D293" w14:textId="176AC249" w:rsidR="006507AA" w:rsidRPr="00204CE1" w:rsidRDefault="00F73CB3" w:rsidP="00277DB6">
      <w:pPr>
        <w:spacing w:after="0" w:line="240" w:lineRule="auto"/>
        <w:ind w:firstLine="720"/>
        <w:jc w:val="both"/>
        <w:rPr>
          <w:rFonts w:ascii="Times New Roman" w:hAnsi="Times New Roman" w:cs="Times New Roman"/>
          <w:sz w:val="24"/>
          <w:szCs w:val="24"/>
        </w:rPr>
      </w:pPr>
      <w:r w:rsidRPr="00204CE1">
        <w:rPr>
          <w:rFonts w:ascii="Times New Roman" w:hAnsi="Times New Roman" w:cs="Times New Roman"/>
          <w:noProof/>
          <w:sz w:val="24"/>
          <w:szCs w:val="24"/>
          <w:lang w:val="en-GB" w:eastAsia="en-GB"/>
        </w:rPr>
        <w:drawing>
          <wp:inline distT="0" distB="0" distL="0" distR="0" wp14:anchorId="4EC54C56" wp14:editId="7B0DB6A2">
            <wp:extent cx="6156960" cy="307086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A1829B" w14:textId="473E808E" w:rsidR="00F73CB3" w:rsidRPr="006913F3" w:rsidRDefault="00F73CB3" w:rsidP="00277DB6">
      <w:pPr>
        <w:spacing w:after="0" w:line="240" w:lineRule="auto"/>
        <w:jc w:val="both"/>
        <w:rPr>
          <w:rFonts w:ascii="Times New Roman" w:hAnsi="Times New Roman" w:cs="Times New Roman"/>
          <w:sz w:val="24"/>
          <w:szCs w:val="24"/>
        </w:rPr>
      </w:pPr>
      <w:r w:rsidRPr="006913F3">
        <w:rPr>
          <w:rFonts w:ascii="Times New Roman" w:hAnsi="Times New Roman" w:cs="Times New Roman"/>
          <w:b/>
          <w:sz w:val="24"/>
          <w:szCs w:val="24"/>
        </w:rPr>
        <w:t>9.</w:t>
      </w:r>
      <w:r w:rsidR="000B0816">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00755FAE">
        <w:rPr>
          <w:rFonts w:ascii="Times New Roman" w:hAnsi="Times New Roman" w:cs="Times New Roman"/>
          <w:sz w:val="24"/>
          <w:szCs w:val="24"/>
        </w:rPr>
        <w:t xml:space="preserve"> </w:t>
      </w:r>
      <w:r w:rsidR="00204CE1">
        <w:rPr>
          <w:rFonts w:ascii="Times New Roman" w:hAnsi="Times New Roman" w:cs="Times New Roman"/>
          <w:sz w:val="24"/>
          <w:szCs w:val="24"/>
        </w:rPr>
        <w:t>Zinātnes b</w:t>
      </w:r>
      <w:r w:rsidR="00755FAE">
        <w:rPr>
          <w:rFonts w:ascii="Times New Roman" w:hAnsi="Times New Roman" w:cs="Times New Roman"/>
          <w:sz w:val="24"/>
          <w:szCs w:val="24"/>
        </w:rPr>
        <w:t xml:space="preserve">āzes finansējums </w:t>
      </w:r>
      <w:r w:rsidR="004D3982">
        <w:rPr>
          <w:rFonts w:ascii="Times New Roman" w:hAnsi="Times New Roman" w:cs="Times New Roman"/>
          <w:sz w:val="24"/>
          <w:szCs w:val="24"/>
        </w:rPr>
        <w:t>–</w:t>
      </w:r>
      <w:r w:rsidR="00755FAE">
        <w:rPr>
          <w:rFonts w:ascii="Times New Roman" w:hAnsi="Times New Roman" w:cs="Times New Roman"/>
          <w:sz w:val="24"/>
          <w:szCs w:val="24"/>
        </w:rPr>
        <w:t xml:space="preserve"> </w:t>
      </w:r>
      <w:r w:rsidRPr="006913F3">
        <w:rPr>
          <w:rFonts w:ascii="Times New Roman" w:hAnsi="Times New Roman" w:cs="Times New Roman"/>
          <w:sz w:val="24"/>
          <w:szCs w:val="24"/>
        </w:rPr>
        <w:t xml:space="preserve">esošais un </w:t>
      </w:r>
      <w:r w:rsidR="00277DB6">
        <w:rPr>
          <w:rFonts w:ascii="Times New Roman" w:hAnsi="Times New Roman" w:cs="Times New Roman"/>
          <w:sz w:val="24"/>
          <w:szCs w:val="24"/>
        </w:rPr>
        <w:t xml:space="preserve">ZTAIP </w:t>
      </w:r>
      <w:r w:rsidRPr="006913F3">
        <w:rPr>
          <w:rFonts w:ascii="Times New Roman" w:hAnsi="Times New Roman" w:cs="Times New Roman"/>
          <w:sz w:val="24"/>
          <w:szCs w:val="24"/>
        </w:rPr>
        <w:t xml:space="preserve">paredzētais, kā arī optimāli nepieciešamais (milj. </w:t>
      </w:r>
      <w:r w:rsidR="004D3982" w:rsidRPr="003D3331">
        <w:rPr>
          <w:rFonts w:ascii="Times New Roman" w:hAnsi="Times New Roman" w:cs="Times New Roman"/>
          <w:i/>
          <w:sz w:val="24"/>
          <w:szCs w:val="24"/>
        </w:rPr>
        <w:t>euro</w:t>
      </w:r>
      <w:r w:rsidRPr="006913F3">
        <w:rPr>
          <w:rFonts w:ascii="Times New Roman" w:hAnsi="Times New Roman" w:cs="Times New Roman"/>
          <w:sz w:val="24"/>
          <w:szCs w:val="24"/>
        </w:rPr>
        <w:t>) (IZM, IZM aprēķini, ZTAIP)</w:t>
      </w:r>
    </w:p>
    <w:p w14:paraId="0429DBAC" w14:textId="5E7A15C1" w:rsidR="00F73CB3" w:rsidRPr="006913F3" w:rsidRDefault="00F73CB3" w:rsidP="00277DB6">
      <w:pPr>
        <w:spacing w:after="0" w:line="240" w:lineRule="auto"/>
        <w:jc w:val="both"/>
        <w:rPr>
          <w:rFonts w:ascii="Times New Roman" w:hAnsi="Times New Roman" w:cs="Times New Roman"/>
          <w:sz w:val="24"/>
          <w:szCs w:val="24"/>
        </w:rPr>
      </w:pPr>
    </w:p>
    <w:p w14:paraId="6FCC0E93" w14:textId="273197B2" w:rsidR="00AC1E30" w:rsidRPr="000B0816" w:rsidRDefault="00AC1E30" w:rsidP="00277DB6">
      <w:pPr>
        <w:spacing w:after="0" w:line="240" w:lineRule="auto"/>
        <w:ind w:firstLine="720"/>
        <w:jc w:val="both"/>
        <w:rPr>
          <w:rFonts w:ascii="Times New Roman" w:hAnsi="Times New Roman" w:cs="Times New Roman"/>
          <w:sz w:val="24"/>
          <w:szCs w:val="24"/>
        </w:rPr>
      </w:pPr>
      <w:r w:rsidRPr="000B0816">
        <w:rPr>
          <w:rFonts w:ascii="Times New Roman" w:hAnsi="Times New Roman" w:cs="Times New Roman"/>
          <w:sz w:val="24"/>
          <w:szCs w:val="24"/>
        </w:rPr>
        <w:t xml:space="preserve">No </w:t>
      </w:r>
      <w:r w:rsidR="00277DB6">
        <w:rPr>
          <w:rFonts w:ascii="Times New Roman" w:hAnsi="Times New Roman" w:cs="Times New Roman"/>
          <w:sz w:val="24"/>
          <w:szCs w:val="24"/>
        </w:rPr>
        <w:t>9.attēla</w:t>
      </w:r>
      <w:r w:rsidR="00277DB6" w:rsidRPr="000B0816">
        <w:rPr>
          <w:rFonts w:ascii="Times New Roman" w:hAnsi="Times New Roman" w:cs="Times New Roman"/>
          <w:sz w:val="24"/>
          <w:szCs w:val="24"/>
        </w:rPr>
        <w:t xml:space="preserve"> </w:t>
      </w:r>
      <w:r w:rsidRPr="000B0816">
        <w:rPr>
          <w:rFonts w:ascii="Times New Roman" w:hAnsi="Times New Roman" w:cs="Times New Roman"/>
          <w:sz w:val="24"/>
          <w:szCs w:val="24"/>
        </w:rPr>
        <w:t xml:space="preserve">izriet </w:t>
      </w:r>
      <w:r w:rsidR="00DF708F" w:rsidRPr="000B0816">
        <w:rPr>
          <w:rFonts w:ascii="Times New Roman" w:hAnsi="Times New Roman" w:cs="Times New Roman"/>
          <w:sz w:val="24"/>
          <w:szCs w:val="24"/>
        </w:rPr>
        <w:t>2</w:t>
      </w:r>
      <w:r w:rsidRPr="000B0816">
        <w:rPr>
          <w:rFonts w:ascii="Times New Roman" w:hAnsi="Times New Roman" w:cs="Times New Roman"/>
          <w:sz w:val="24"/>
          <w:szCs w:val="24"/>
        </w:rPr>
        <w:t xml:space="preserve"> dažādi </w:t>
      </w:r>
      <w:r w:rsidR="00F73CB3" w:rsidRPr="000B0816">
        <w:rPr>
          <w:rFonts w:ascii="Times New Roman" w:hAnsi="Times New Roman" w:cs="Times New Roman"/>
          <w:sz w:val="24"/>
          <w:szCs w:val="24"/>
        </w:rPr>
        <w:t xml:space="preserve">mehānismi </w:t>
      </w:r>
      <w:r w:rsidR="004D3982">
        <w:rPr>
          <w:rFonts w:ascii="Times New Roman" w:hAnsi="Times New Roman" w:cs="Times New Roman"/>
          <w:sz w:val="24"/>
          <w:szCs w:val="24"/>
        </w:rPr>
        <w:t xml:space="preserve">iespējamiem </w:t>
      </w:r>
      <w:r w:rsidR="00F9052E">
        <w:rPr>
          <w:rFonts w:ascii="Times New Roman" w:hAnsi="Times New Roman" w:cs="Times New Roman"/>
          <w:sz w:val="24"/>
          <w:szCs w:val="24"/>
        </w:rPr>
        <w:t>mehānismiem</w:t>
      </w:r>
      <w:r w:rsidR="00F73CB3" w:rsidRPr="000B0816">
        <w:rPr>
          <w:rFonts w:ascii="Times New Roman" w:hAnsi="Times New Roman" w:cs="Times New Roman"/>
          <w:sz w:val="24"/>
          <w:szCs w:val="24"/>
        </w:rPr>
        <w:t>, kādā tiek pilnveidots zinātnes bāzes finansējums, kur</w:t>
      </w:r>
      <w:r w:rsidRPr="000B0816">
        <w:rPr>
          <w:rFonts w:ascii="Times New Roman" w:hAnsi="Times New Roman" w:cs="Times New Roman"/>
          <w:sz w:val="24"/>
          <w:szCs w:val="24"/>
        </w:rPr>
        <w:t xml:space="preserve"> katram ir </w:t>
      </w:r>
      <w:r w:rsidR="00F73CB3" w:rsidRPr="000B0816">
        <w:rPr>
          <w:rFonts w:ascii="Times New Roman" w:hAnsi="Times New Roman" w:cs="Times New Roman"/>
          <w:sz w:val="24"/>
          <w:szCs w:val="24"/>
        </w:rPr>
        <w:t>dažāds</w:t>
      </w:r>
      <w:r w:rsidRPr="000B0816">
        <w:rPr>
          <w:rFonts w:ascii="Times New Roman" w:hAnsi="Times New Roman" w:cs="Times New Roman"/>
          <w:sz w:val="24"/>
          <w:szCs w:val="24"/>
        </w:rPr>
        <w:t xml:space="preserve"> ieviešanas mehānisms:</w:t>
      </w:r>
    </w:p>
    <w:p w14:paraId="1990D9F5" w14:textId="7B389DC9" w:rsidR="006507AA" w:rsidRPr="00755FAE" w:rsidRDefault="00755FAE" w:rsidP="006E627B">
      <w:pPr>
        <w:spacing w:after="0" w:line="240" w:lineRule="auto"/>
        <w:ind w:firstLine="720"/>
        <w:jc w:val="both"/>
        <w:rPr>
          <w:rFonts w:ascii="Times New Roman" w:hAnsi="Times New Roman" w:cs="Times New Roman"/>
          <w:sz w:val="24"/>
          <w:szCs w:val="24"/>
        </w:rPr>
      </w:pPr>
      <w:r w:rsidRPr="00755FAE">
        <w:rPr>
          <w:rFonts w:ascii="Times New Roman" w:hAnsi="Times New Roman" w:cs="Times New Roman"/>
          <w:b/>
          <w:sz w:val="24"/>
          <w:szCs w:val="24"/>
        </w:rPr>
        <w:t xml:space="preserve">1. </w:t>
      </w:r>
      <w:r w:rsidR="00F73CB3" w:rsidRPr="00755FAE">
        <w:rPr>
          <w:rFonts w:ascii="Times New Roman" w:hAnsi="Times New Roman" w:cs="Times New Roman"/>
          <w:b/>
          <w:sz w:val="24"/>
          <w:szCs w:val="24"/>
        </w:rPr>
        <w:t xml:space="preserve">Zinātnes bāzes finansējuma izmaiņas kopā ar </w:t>
      </w:r>
      <w:r w:rsidR="006507AA" w:rsidRPr="00755FAE">
        <w:rPr>
          <w:rFonts w:ascii="Times New Roman" w:hAnsi="Times New Roman" w:cs="Times New Roman"/>
          <w:b/>
          <w:sz w:val="24"/>
          <w:szCs w:val="24"/>
        </w:rPr>
        <w:t>ZTAIP/NAP</w:t>
      </w:r>
      <w:r w:rsidR="00F73CB3" w:rsidRPr="00755FAE">
        <w:rPr>
          <w:rFonts w:ascii="Times New Roman" w:hAnsi="Times New Roman" w:cs="Times New Roman"/>
          <w:b/>
          <w:sz w:val="24"/>
          <w:szCs w:val="24"/>
        </w:rPr>
        <w:t xml:space="preserve"> paredzētajām papildu</w:t>
      </w:r>
      <w:r w:rsidR="006507AA" w:rsidRPr="00755FAE">
        <w:rPr>
          <w:rFonts w:ascii="Times New Roman" w:hAnsi="Times New Roman" w:cs="Times New Roman"/>
          <w:b/>
          <w:sz w:val="24"/>
          <w:szCs w:val="24"/>
        </w:rPr>
        <w:t xml:space="preserve"> </w:t>
      </w:r>
      <w:r w:rsidR="00F73CB3" w:rsidRPr="00755FAE">
        <w:rPr>
          <w:rFonts w:ascii="Times New Roman" w:hAnsi="Times New Roman" w:cs="Times New Roman"/>
          <w:b/>
          <w:sz w:val="24"/>
          <w:szCs w:val="24"/>
        </w:rPr>
        <w:t xml:space="preserve">investīcijām </w:t>
      </w:r>
      <w:r w:rsidR="00F9052E">
        <w:rPr>
          <w:rFonts w:ascii="Times New Roman" w:hAnsi="Times New Roman" w:cs="Times New Roman"/>
          <w:b/>
          <w:sz w:val="24"/>
          <w:szCs w:val="24"/>
        </w:rPr>
        <w:t>–</w:t>
      </w:r>
      <w:r w:rsidR="00AC1E30" w:rsidRPr="00755FAE">
        <w:rPr>
          <w:rFonts w:ascii="Times New Roman" w:hAnsi="Times New Roman" w:cs="Times New Roman"/>
          <w:sz w:val="24"/>
          <w:szCs w:val="24"/>
        </w:rPr>
        <w:t xml:space="preserve"> iespēja uz papildu finansējuma rēķina </w:t>
      </w:r>
      <w:r w:rsidR="00DF708F" w:rsidRPr="00755FAE">
        <w:rPr>
          <w:rFonts w:ascii="Times New Roman" w:hAnsi="Times New Roman" w:cs="Times New Roman"/>
          <w:sz w:val="24"/>
          <w:szCs w:val="24"/>
        </w:rPr>
        <w:t>pakāpeniski</w:t>
      </w:r>
      <w:r w:rsidR="00AC1E30" w:rsidRPr="00755FAE">
        <w:rPr>
          <w:rFonts w:ascii="Times New Roman" w:hAnsi="Times New Roman" w:cs="Times New Roman"/>
          <w:sz w:val="24"/>
          <w:szCs w:val="24"/>
        </w:rPr>
        <w:t xml:space="preserve"> ieviest jaun</w:t>
      </w:r>
      <w:r w:rsidR="00277DB6">
        <w:rPr>
          <w:rFonts w:ascii="Times New Roman" w:hAnsi="Times New Roman" w:cs="Times New Roman"/>
          <w:sz w:val="24"/>
          <w:szCs w:val="24"/>
        </w:rPr>
        <w:t>u zinātnes bāzes finansējuma</w:t>
      </w:r>
      <w:r w:rsidR="00204CE1">
        <w:rPr>
          <w:rFonts w:ascii="Times New Roman" w:hAnsi="Times New Roman" w:cs="Times New Roman"/>
          <w:sz w:val="24"/>
          <w:szCs w:val="24"/>
        </w:rPr>
        <w:t xml:space="preserve"> </w:t>
      </w:r>
      <w:r w:rsidR="00AC1E30" w:rsidRPr="00755FAE">
        <w:rPr>
          <w:rFonts w:ascii="Times New Roman" w:hAnsi="Times New Roman" w:cs="Times New Roman"/>
          <w:sz w:val="24"/>
          <w:szCs w:val="24"/>
        </w:rPr>
        <w:t xml:space="preserve"> modeli. </w:t>
      </w:r>
      <w:r w:rsidR="00DF708F" w:rsidRPr="00755FAE">
        <w:rPr>
          <w:rFonts w:ascii="Times New Roman" w:hAnsi="Times New Roman" w:cs="Times New Roman"/>
          <w:sz w:val="24"/>
          <w:szCs w:val="24"/>
        </w:rPr>
        <w:t>Salīdzinoši ātri</w:t>
      </w:r>
      <w:r w:rsidR="00AC1E30" w:rsidRPr="00755FAE">
        <w:rPr>
          <w:rFonts w:ascii="Times New Roman" w:hAnsi="Times New Roman" w:cs="Times New Roman"/>
          <w:sz w:val="24"/>
          <w:szCs w:val="24"/>
        </w:rPr>
        <w:t xml:space="preserve"> sāk darboties jaunie rezultātu stimuli, kuriem ir nopietnāka loma.</w:t>
      </w:r>
    </w:p>
    <w:p w14:paraId="5CB2793A" w14:textId="460040D8" w:rsidR="00AC1E30" w:rsidRPr="006E627B" w:rsidRDefault="00F73CB3" w:rsidP="006E627B">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Kā trūkums šeit ir </w:t>
      </w:r>
      <w:r w:rsidR="00B251D4" w:rsidRPr="006913F3">
        <w:rPr>
          <w:rFonts w:ascii="Times New Roman" w:hAnsi="Times New Roman" w:cs="Times New Roman"/>
          <w:sz w:val="24"/>
          <w:szCs w:val="24"/>
        </w:rPr>
        <w:t>izceļams</w:t>
      </w:r>
      <w:r w:rsidRPr="006913F3">
        <w:rPr>
          <w:rFonts w:ascii="Times New Roman" w:hAnsi="Times New Roman" w:cs="Times New Roman"/>
          <w:sz w:val="24"/>
          <w:szCs w:val="24"/>
        </w:rPr>
        <w:t xml:space="preserve"> relatīvi nelielais iezīmētais papildu finansējums, kam būs nozīmīga </w:t>
      </w:r>
      <w:r w:rsidR="00277DB6">
        <w:rPr>
          <w:rFonts w:ascii="Times New Roman" w:hAnsi="Times New Roman" w:cs="Times New Roman"/>
          <w:sz w:val="24"/>
          <w:szCs w:val="24"/>
        </w:rPr>
        <w:t>loma zinātnes bāzes finansējuma</w:t>
      </w:r>
      <w:r w:rsidRPr="006913F3">
        <w:rPr>
          <w:rFonts w:ascii="Times New Roman" w:hAnsi="Times New Roman" w:cs="Times New Roman"/>
          <w:sz w:val="24"/>
          <w:szCs w:val="24"/>
        </w:rPr>
        <w:t xml:space="preserve"> efektivitātes uzlabošanā un jauno stimulu</w:t>
      </w:r>
      <w:r w:rsidR="00B251D4" w:rsidRPr="006913F3">
        <w:rPr>
          <w:rFonts w:ascii="Times New Roman" w:hAnsi="Times New Roman" w:cs="Times New Roman"/>
          <w:sz w:val="24"/>
          <w:szCs w:val="24"/>
        </w:rPr>
        <w:t xml:space="preserve"> darbināšanā, taču, mazā finansē</w:t>
      </w:r>
      <w:r w:rsidRPr="006913F3">
        <w:rPr>
          <w:rFonts w:ascii="Times New Roman" w:hAnsi="Times New Roman" w:cs="Times New Roman"/>
          <w:sz w:val="24"/>
          <w:szCs w:val="24"/>
        </w:rPr>
        <w:t xml:space="preserve">juma dēļ tikai daļēji un tā ieviešana ir iespējama tikai pakāpeniski, vairāku gadu garumā, lai pāreja uz jauno </w:t>
      </w:r>
      <w:r w:rsidR="006E627B" w:rsidRPr="006E627B">
        <w:rPr>
          <w:rFonts w:ascii="Times New Roman" w:hAnsi="Times New Roman" w:cs="Times New Roman"/>
          <w:sz w:val="24"/>
          <w:szCs w:val="24"/>
        </w:rPr>
        <w:t xml:space="preserve">zinātnes bāzes finansējuma aprēķina </w:t>
      </w:r>
      <w:r w:rsidRPr="006E627B">
        <w:rPr>
          <w:rFonts w:ascii="Times New Roman" w:hAnsi="Times New Roman" w:cs="Times New Roman"/>
          <w:sz w:val="24"/>
          <w:szCs w:val="24"/>
        </w:rPr>
        <w:t xml:space="preserve">formulu nenāktu vairākām </w:t>
      </w:r>
      <w:r w:rsidR="00204CE1" w:rsidRPr="006E627B">
        <w:rPr>
          <w:rFonts w:ascii="Times New Roman" w:hAnsi="Times New Roman" w:cs="Times New Roman"/>
          <w:sz w:val="24"/>
          <w:szCs w:val="24"/>
        </w:rPr>
        <w:t xml:space="preserve">zinātniskajām </w:t>
      </w:r>
      <w:r w:rsidRPr="006E627B">
        <w:rPr>
          <w:rFonts w:ascii="Times New Roman" w:hAnsi="Times New Roman" w:cs="Times New Roman"/>
          <w:sz w:val="24"/>
          <w:szCs w:val="24"/>
        </w:rPr>
        <w:t>institūcijām ar risku neprognozējamam un ļoti lielam (20 % vai vairāk)</w:t>
      </w:r>
      <w:r w:rsidR="006E627B" w:rsidRPr="006E627B">
        <w:rPr>
          <w:rFonts w:ascii="Times New Roman" w:hAnsi="Times New Roman" w:cs="Times New Roman"/>
          <w:sz w:val="24"/>
          <w:szCs w:val="24"/>
        </w:rPr>
        <w:t xml:space="preserve"> zinātnes bāzes </w:t>
      </w:r>
      <w:r w:rsidRPr="006E627B">
        <w:rPr>
          <w:rFonts w:ascii="Times New Roman" w:hAnsi="Times New Roman" w:cs="Times New Roman"/>
          <w:sz w:val="24"/>
          <w:szCs w:val="24"/>
        </w:rPr>
        <w:t>finansējuma samazinājumam.</w:t>
      </w:r>
    </w:p>
    <w:p w14:paraId="6ED1543E" w14:textId="67728BAA" w:rsidR="006507AA" w:rsidRPr="006E627B" w:rsidRDefault="00755FAE" w:rsidP="006E627B">
      <w:pPr>
        <w:spacing w:after="0" w:line="240" w:lineRule="auto"/>
        <w:ind w:firstLine="720"/>
        <w:jc w:val="both"/>
        <w:rPr>
          <w:rFonts w:ascii="Times New Roman" w:hAnsi="Times New Roman" w:cs="Times New Roman"/>
          <w:sz w:val="24"/>
          <w:szCs w:val="24"/>
        </w:rPr>
      </w:pPr>
      <w:r w:rsidRPr="006E627B">
        <w:rPr>
          <w:rFonts w:ascii="Times New Roman" w:hAnsi="Times New Roman" w:cs="Times New Roman"/>
          <w:sz w:val="24"/>
          <w:szCs w:val="24"/>
        </w:rPr>
        <w:t>2</w:t>
      </w:r>
      <w:r w:rsidR="00561ED3" w:rsidRPr="006E627B">
        <w:rPr>
          <w:rFonts w:ascii="Times New Roman" w:hAnsi="Times New Roman" w:cs="Times New Roman"/>
          <w:sz w:val="24"/>
          <w:szCs w:val="24"/>
        </w:rPr>
        <w:t xml:space="preserve">. “Optimāli” nepieciešamā finansējuma nodrošināšana </w:t>
      </w:r>
      <w:r w:rsidR="00AC1E30" w:rsidRPr="006E627B">
        <w:rPr>
          <w:rFonts w:ascii="Times New Roman" w:hAnsi="Times New Roman" w:cs="Times New Roman"/>
          <w:sz w:val="24"/>
          <w:szCs w:val="24"/>
        </w:rPr>
        <w:t>– pakāpeniski nodrošināts pilnvērtīgs</w:t>
      </w:r>
      <w:r w:rsidR="006E627B" w:rsidRPr="006E627B">
        <w:rPr>
          <w:rFonts w:ascii="Times New Roman" w:hAnsi="Times New Roman" w:cs="Times New Roman"/>
          <w:sz w:val="24"/>
          <w:szCs w:val="24"/>
        </w:rPr>
        <w:t xml:space="preserve"> zinātnes</w:t>
      </w:r>
      <w:r w:rsidR="00AC1E30" w:rsidRPr="006E627B">
        <w:rPr>
          <w:rFonts w:ascii="Times New Roman" w:hAnsi="Times New Roman" w:cs="Times New Roman"/>
          <w:sz w:val="24"/>
          <w:szCs w:val="24"/>
        </w:rPr>
        <w:t xml:space="preserve"> bāzes finansējums (par pamatu ņemot esošās </w:t>
      </w:r>
      <w:r w:rsidR="00277DB6">
        <w:rPr>
          <w:rFonts w:ascii="Times New Roman" w:hAnsi="Times New Roman" w:cs="Times New Roman"/>
          <w:sz w:val="24"/>
          <w:szCs w:val="24"/>
        </w:rPr>
        <w:t xml:space="preserve">bāzes finansējuma aprēķinu </w:t>
      </w:r>
      <w:r w:rsidR="00AC1E30" w:rsidRPr="006E627B">
        <w:rPr>
          <w:rFonts w:ascii="Times New Roman" w:hAnsi="Times New Roman" w:cs="Times New Roman"/>
          <w:sz w:val="24"/>
          <w:szCs w:val="24"/>
        </w:rPr>
        <w:t xml:space="preserve">formulas “vajadzības”). Praktiski tas ļauj </w:t>
      </w:r>
      <w:r w:rsidR="00277DB6">
        <w:rPr>
          <w:rFonts w:ascii="Times New Roman" w:hAnsi="Times New Roman" w:cs="Times New Roman"/>
          <w:sz w:val="24"/>
          <w:szCs w:val="24"/>
        </w:rPr>
        <w:t xml:space="preserve">dažu gadu laikā </w:t>
      </w:r>
      <w:r w:rsidR="00AC1E30" w:rsidRPr="006E627B">
        <w:rPr>
          <w:rFonts w:ascii="Times New Roman" w:hAnsi="Times New Roman" w:cs="Times New Roman"/>
          <w:sz w:val="24"/>
          <w:szCs w:val="24"/>
        </w:rPr>
        <w:t>ieviest jauno</w:t>
      </w:r>
      <w:r w:rsidR="006E627B" w:rsidRPr="006E627B">
        <w:rPr>
          <w:rFonts w:ascii="Times New Roman" w:hAnsi="Times New Roman" w:cs="Times New Roman"/>
          <w:sz w:val="24"/>
          <w:szCs w:val="24"/>
        </w:rPr>
        <w:t xml:space="preserve"> zinātnes bāzes finansējuma</w:t>
      </w:r>
      <w:r w:rsidR="00AC1E30" w:rsidRPr="006E627B">
        <w:rPr>
          <w:rFonts w:ascii="Times New Roman" w:hAnsi="Times New Roman" w:cs="Times New Roman"/>
          <w:sz w:val="24"/>
          <w:szCs w:val="24"/>
        </w:rPr>
        <w:t xml:space="preserve"> </w:t>
      </w:r>
      <w:r w:rsidR="00561ED3" w:rsidRPr="006E627B">
        <w:rPr>
          <w:rFonts w:ascii="Times New Roman" w:hAnsi="Times New Roman" w:cs="Times New Roman"/>
          <w:sz w:val="24"/>
          <w:szCs w:val="24"/>
        </w:rPr>
        <w:t>aprēķinu formulu</w:t>
      </w:r>
      <w:r w:rsidR="00AC1E30" w:rsidRPr="006E627B">
        <w:rPr>
          <w:rFonts w:ascii="Times New Roman" w:hAnsi="Times New Roman" w:cs="Times New Roman"/>
          <w:sz w:val="24"/>
          <w:szCs w:val="24"/>
        </w:rPr>
        <w:t>, kurai būs ievērojama</w:t>
      </w:r>
      <w:r w:rsidR="00561ED3" w:rsidRPr="006E627B">
        <w:rPr>
          <w:rFonts w:ascii="Times New Roman" w:hAnsi="Times New Roman" w:cs="Times New Roman"/>
          <w:sz w:val="24"/>
          <w:szCs w:val="24"/>
        </w:rPr>
        <w:t xml:space="preserve"> pozitīva</w:t>
      </w:r>
      <w:r w:rsidR="00AC1E30" w:rsidRPr="006E627B">
        <w:rPr>
          <w:rFonts w:ascii="Times New Roman" w:hAnsi="Times New Roman" w:cs="Times New Roman"/>
          <w:sz w:val="24"/>
          <w:szCs w:val="24"/>
        </w:rPr>
        <w:t xml:space="preserve"> ietekme u</w:t>
      </w:r>
      <w:r w:rsidR="00561ED3" w:rsidRPr="006E627B">
        <w:rPr>
          <w:rFonts w:ascii="Times New Roman" w:hAnsi="Times New Roman" w:cs="Times New Roman"/>
          <w:sz w:val="24"/>
          <w:szCs w:val="24"/>
        </w:rPr>
        <w:t>z zinātnisko institūciju attīstību</w:t>
      </w:r>
      <w:r w:rsidR="00CF38AA" w:rsidRPr="006E627B">
        <w:rPr>
          <w:rFonts w:ascii="Times New Roman" w:hAnsi="Times New Roman" w:cs="Times New Roman"/>
          <w:sz w:val="24"/>
          <w:szCs w:val="24"/>
        </w:rPr>
        <w:t>.</w:t>
      </w:r>
    </w:p>
    <w:p w14:paraId="5871A47B" w14:textId="4EFD39AC" w:rsidR="006507AA" w:rsidRPr="006E627B" w:rsidRDefault="006507AA" w:rsidP="006E627B">
      <w:pPr>
        <w:spacing w:after="0" w:line="240" w:lineRule="auto"/>
        <w:jc w:val="both"/>
        <w:rPr>
          <w:rFonts w:ascii="Times New Roman" w:hAnsi="Times New Roman" w:cs="Times New Roman"/>
          <w:sz w:val="24"/>
          <w:szCs w:val="24"/>
        </w:rPr>
      </w:pPr>
    </w:p>
    <w:p w14:paraId="0F8F3B90" w14:textId="2184365B" w:rsidR="006507AA" w:rsidRPr="006913F3" w:rsidRDefault="00023552" w:rsidP="00023552">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lastRenderedPageBreak/>
        <w:drawing>
          <wp:inline distT="0" distB="0" distL="0" distR="0" wp14:anchorId="6825F37C" wp14:editId="137DCD78">
            <wp:extent cx="5273040" cy="3345180"/>
            <wp:effectExtent l="0" t="0" r="3810"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5FE76D" w14:textId="7AF5025D" w:rsidR="00561ED3" w:rsidRPr="006913F3" w:rsidRDefault="00561ED3" w:rsidP="00277DB6">
      <w:pPr>
        <w:spacing w:after="240" w:line="240" w:lineRule="auto"/>
        <w:jc w:val="both"/>
        <w:rPr>
          <w:rFonts w:ascii="Times New Roman" w:hAnsi="Times New Roman" w:cs="Times New Roman"/>
          <w:sz w:val="24"/>
          <w:szCs w:val="24"/>
        </w:rPr>
      </w:pPr>
      <w:r w:rsidRPr="006913F3">
        <w:rPr>
          <w:rFonts w:ascii="Times New Roman" w:hAnsi="Times New Roman" w:cs="Times New Roman"/>
          <w:b/>
          <w:sz w:val="24"/>
          <w:szCs w:val="24"/>
        </w:rPr>
        <w:t>10.</w:t>
      </w:r>
      <w:r w:rsidR="000B0816">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Pr="006913F3">
        <w:rPr>
          <w:rFonts w:ascii="Times New Roman" w:hAnsi="Times New Roman" w:cs="Times New Roman"/>
          <w:sz w:val="24"/>
          <w:szCs w:val="24"/>
        </w:rPr>
        <w:t xml:space="preserve"> </w:t>
      </w:r>
      <w:r w:rsidR="006E627B">
        <w:rPr>
          <w:rFonts w:ascii="Times New Roman" w:hAnsi="Times New Roman" w:cs="Times New Roman"/>
          <w:sz w:val="24"/>
          <w:szCs w:val="24"/>
        </w:rPr>
        <w:t>Zinātnes b</w:t>
      </w:r>
      <w:r w:rsidRPr="006913F3">
        <w:rPr>
          <w:rFonts w:ascii="Times New Roman" w:hAnsi="Times New Roman" w:cs="Times New Roman"/>
          <w:sz w:val="24"/>
          <w:szCs w:val="24"/>
        </w:rPr>
        <w:t xml:space="preserve">āzes finansējuma modeļa izmaiņas (milj. </w:t>
      </w:r>
      <w:r w:rsidRPr="00277DB6">
        <w:rPr>
          <w:rFonts w:ascii="Times New Roman" w:hAnsi="Times New Roman" w:cs="Times New Roman"/>
          <w:i/>
          <w:sz w:val="24"/>
          <w:szCs w:val="24"/>
        </w:rPr>
        <w:t>e</w:t>
      </w:r>
      <w:r w:rsidR="00F9052E" w:rsidRPr="00277DB6">
        <w:rPr>
          <w:rFonts w:ascii="Times New Roman" w:hAnsi="Times New Roman" w:cs="Times New Roman"/>
          <w:i/>
          <w:sz w:val="24"/>
          <w:szCs w:val="24"/>
        </w:rPr>
        <w:t>u</w:t>
      </w:r>
      <w:r w:rsidRPr="00277DB6">
        <w:rPr>
          <w:rFonts w:ascii="Times New Roman" w:hAnsi="Times New Roman" w:cs="Times New Roman"/>
          <w:i/>
          <w:sz w:val="24"/>
          <w:szCs w:val="24"/>
        </w:rPr>
        <w:t>ro</w:t>
      </w:r>
      <w:r w:rsidRPr="006913F3">
        <w:rPr>
          <w:rFonts w:ascii="Times New Roman" w:hAnsi="Times New Roman" w:cs="Times New Roman"/>
          <w:sz w:val="24"/>
          <w:szCs w:val="24"/>
        </w:rPr>
        <w:t>) 1.</w:t>
      </w:r>
      <w:r w:rsidR="000B0816">
        <w:rPr>
          <w:rFonts w:ascii="Times New Roman" w:hAnsi="Times New Roman" w:cs="Times New Roman"/>
          <w:sz w:val="24"/>
          <w:szCs w:val="24"/>
        </w:rPr>
        <w:t xml:space="preserve"> </w:t>
      </w:r>
      <w:r w:rsidRPr="006913F3">
        <w:rPr>
          <w:rFonts w:ascii="Times New Roman" w:hAnsi="Times New Roman" w:cs="Times New Roman"/>
          <w:sz w:val="24"/>
          <w:szCs w:val="24"/>
        </w:rPr>
        <w:t>mehānisms (ZTAIP papildu finansējuma ietvaros) (IZM, IZM aprēķini, ZTAIP)</w:t>
      </w:r>
    </w:p>
    <w:p w14:paraId="0D5C0607" w14:textId="77777777" w:rsidR="00561ED3" w:rsidRPr="006913F3" w:rsidRDefault="00561ED3" w:rsidP="00023552">
      <w:pPr>
        <w:jc w:val="center"/>
        <w:rPr>
          <w:rFonts w:ascii="Times New Roman" w:hAnsi="Times New Roman" w:cs="Times New Roman"/>
          <w:sz w:val="24"/>
          <w:szCs w:val="24"/>
        </w:rPr>
      </w:pPr>
    </w:p>
    <w:p w14:paraId="302BC123" w14:textId="77777777" w:rsidR="00561ED3" w:rsidRPr="006913F3" w:rsidRDefault="00561ED3" w:rsidP="00023552">
      <w:pPr>
        <w:jc w:val="center"/>
        <w:rPr>
          <w:rFonts w:ascii="Times New Roman" w:hAnsi="Times New Roman" w:cs="Times New Roman"/>
          <w:sz w:val="24"/>
          <w:szCs w:val="24"/>
        </w:rPr>
      </w:pPr>
    </w:p>
    <w:p w14:paraId="4128DD8D" w14:textId="77777777" w:rsidR="00561ED3" w:rsidRPr="006913F3" w:rsidRDefault="00023552" w:rsidP="00561ED3">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drawing>
          <wp:inline distT="0" distB="0" distL="0" distR="0" wp14:anchorId="77C6062B" wp14:editId="1FAFF959">
            <wp:extent cx="5273040" cy="3063240"/>
            <wp:effectExtent l="0" t="0" r="381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75E4EB" w14:textId="5522A92A" w:rsidR="00023552" w:rsidRPr="006913F3" w:rsidRDefault="00561ED3" w:rsidP="00277DB6">
      <w:pPr>
        <w:spacing w:after="0" w:line="240" w:lineRule="auto"/>
        <w:rPr>
          <w:rFonts w:ascii="Times New Roman" w:hAnsi="Times New Roman" w:cs="Times New Roman"/>
          <w:sz w:val="24"/>
          <w:szCs w:val="24"/>
        </w:rPr>
      </w:pPr>
      <w:r w:rsidRPr="006913F3">
        <w:rPr>
          <w:rFonts w:ascii="Times New Roman" w:hAnsi="Times New Roman" w:cs="Times New Roman"/>
          <w:b/>
          <w:sz w:val="24"/>
          <w:szCs w:val="24"/>
        </w:rPr>
        <w:t>11.</w:t>
      </w:r>
      <w:r w:rsidR="000B0816">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Pr="006913F3">
        <w:rPr>
          <w:rFonts w:ascii="Times New Roman" w:hAnsi="Times New Roman" w:cs="Times New Roman"/>
          <w:sz w:val="24"/>
          <w:szCs w:val="24"/>
        </w:rPr>
        <w:t xml:space="preserve"> </w:t>
      </w:r>
      <w:r w:rsidR="006E627B">
        <w:rPr>
          <w:rFonts w:ascii="Times New Roman" w:hAnsi="Times New Roman" w:cs="Times New Roman"/>
          <w:sz w:val="24"/>
          <w:szCs w:val="24"/>
        </w:rPr>
        <w:t>Zinātnes b</w:t>
      </w:r>
      <w:r w:rsidRPr="006913F3">
        <w:rPr>
          <w:rFonts w:ascii="Times New Roman" w:hAnsi="Times New Roman" w:cs="Times New Roman"/>
          <w:sz w:val="24"/>
          <w:szCs w:val="24"/>
        </w:rPr>
        <w:t>āzes finansējuma mo</w:t>
      </w:r>
      <w:r w:rsidR="007C7CC3">
        <w:rPr>
          <w:rFonts w:ascii="Times New Roman" w:hAnsi="Times New Roman" w:cs="Times New Roman"/>
          <w:sz w:val="24"/>
          <w:szCs w:val="24"/>
        </w:rPr>
        <w:t xml:space="preserve">deļa izmaiņas (milj. eiro) 2. </w:t>
      </w:r>
      <w:r w:rsidR="00F9052E">
        <w:rPr>
          <w:rFonts w:ascii="Times New Roman" w:hAnsi="Times New Roman" w:cs="Times New Roman"/>
          <w:sz w:val="24"/>
          <w:szCs w:val="24"/>
        </w:rPr>
        <w:t>mehānisms</w:t>
      </w:r>
      <w:r w:rsidR="00F9052E" w:rsidRPr="006913F3">
        <w:rPr>
          <w:rFonts w:ascii="Times New Roman" w:hAnsi="Times New Roman" w:cs="Times New Roman"/>
          <w:sz w:val="24"/>
          <w:szCs w:val="24"/>
        </w:rPr>
        <w:t xml:space="preserve"> </w:t>
      </w:r>
      <w:r w:rsidRPr="006913F3">
        <w:rPr>
          <w:rFonts w:ascii="Times New Roman" w:hAnsi="Times New Roman" w:cs="Times New Roman"/>
          <w:sz w:val="24"/>
          <w:szCs w:val="24"/>
        </w:rPr>
        <w:t>(optimālā finansējuma ietvaros) (IZM, IZM aprēķini, ZTAIP)</w:t>
      </w:r>
    </w:p>
    <w:p w14:paraId="57A2FC33" w14:textId="77777777" w:rsidR="00561ED3" w:rsidRPr="006913F3" w:rsidRDefault="00561ED3" w:rsidP="00561ED3">
      <w:pPr>
        <w:rPr>
          <w:rFonts w:ascii="Times New Roman" w:hAnsi="Times New Roman" w:cs="Times New Roman"/>
          <w:sz w:val="24"/>
          <w:szCs w:val="24"/>
        </w:rPr>
      </w:pPr>
    </w:p>
    <w:p w14:paraId="5BC4603A" w14:textId="77777777" w:rsidR="006E627B" w:rsidRDefault="006E627B" w:rsidP="000B0816">
      <w:pPr>
        <w:jc w:val="center"/>
        <w:rPr>
          <w:rFonts w:ascii="Times New Roman" w:hAnsi="Times New Roman" w:cs="Times New Roman"/>
          <w:b/>
          <w:sz w:val="24"/>
          <w:szCs w:val="24"/>
        </w:rPr>
      </w:pPr>
    </w:p>
    <w:p w14:paraId="17AC6DAF" w14:textId="77777777" w:rsidR="006E627B" w:rsidRDefault="006E627B" w:rsidP="000B0816">
      <w:pPr>
        <w:jc w:val="center"/>
        <w:rPr>
          <w:rFonts w:ascii="Times New Roman" w:hAnsi="Times New Roman" w:cs="Times New Roman"/>
          <w:b/>
          <w:sz w:val="24"/>
          <w:szCs w:val="24"/>
        </w:rPr>
      </w:pPr>
    </w:p>
    <w:p w14:paraId="43A0ADAF" w14:textId="2F6AECDE" w:rsidR="0022278B" w:rsidRDefault="000B0816" w:rsidP="00277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22278B" w:rsidRPr="006913F3">
        <w:rPr>
          <w:rFonts w:ascii="Times New Roman" w:hAnsi="Times New Roman" w:cs="Times New Roman"/>
          <w:b/>
          <w:sz w:val="24"/>
          <w:szCs w:val="24"/>
        </w:rPr>
        <w:t>Zinātnes bāzes finansējuma sasaiste ar zinātnes bāzes finansējuma noteiktajiem principiem</w:t>
      </w:r>
    </w:p>
    <w:p w14:paraId="3B7D6232" w14:textId="77777777" w:rsidR="006E627B" w:rsidRPr="000B0816" w:rsidRDefault="006E627B" w:rsidP="00277DB6">
      <w:pPr>
        <w:spacing w:after="0" w:line="240" w:lineRule="auto"/>
        <w:jc w:val="center"/>
        <w:rPr>
          <w:rFonts w:ascii="Times New Roman" w:hAnsi="Times New Roman" w:cs="Times New Roman"/>
          <w:b/>
          <w:sz w:val="24"/>
          <w:szCs w:val="24"/>
        </w:rPr>
      </w:pPr>
    </w:p>
    <w:p w14:paraId="218139C6" w14:textId="0CE47C47" w:rsidR="00195B4F" w:rsidRPr="006913F3" w:rsidRDefault="000B0816" w:rsidP="00277D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Balstoties uz </w:t>
      </w:r>
      <w:r w:rsidR="006E627B">
        <w:rPr>
          <w:rFonts w:ascii="Times New Roman" w:hAnsi="Times New Roman" w:cs="Times New Roman"/>
          <w:sz w:val="24"/>
          <w:szCs w:val="24"/>
        </w:rPr>
        <w:t xml:space="preserve">2019.gada </w:t>
      </w:r>
      <w:r>
        <w:rPr>
          <w:rFonts w:ascii="Times New Roman" w:hAnsi="Times New Roman" w:cs="Times New Roman"/>
          <w:sz w:val="24"/>
          <w:szCs w:val="24"/>
        </w:rPr>
        <w:t xml:space="preserve"> no</w:t>
      </w:r>
      <w:r w:rsidR="0022278B" w:rsidRPr="006913F3">
        <w:rPr>
          <w:rFonts w:ascii="Times New Roman" w:hAnsi="Times New Roman" w:cs="Times New Roman"/>
          <w:sz w:val="24"/>
          <w:szCs w:val="24"/>
        </w:rPr>
        <w:t>vērtējuma rezultātiem</w:t>
      </w:r>
      <w:r w:rsidR="006E627B">
        <w:rPr>
          <w:rFonts w:ascii="Times New Roman" w:hAnsi="Times New Roman" w:cs="Times New Roman"/>
          <w:sz w:val="24"/>
          <w:szCs w:val="24"/>
        </w:rPr>
        <w:t>,</w:t>
      </w:r>
      <w:r w:rsidR="0022278B" w:rsidRPr="006913F3">
        <w:rPr>
          <w:rFonts w:ascii="Times New Roman" w:hAnsi="Times New Roman" w:cs="Times New Roman"/>
          <w:sz w:val="24"/>
          <w:szCs w:val="24"/>
        </w:rPr>
        <w:t xml:space="preserve"> ministrija piedāvā 3 dažādus</w:t>
      </w:r>
      <w:r w:rsidR="00195B4F" w:rsidRPr="006913F3">
        <w:rPr>
          <w:rFonts w:ascii="Times New Roman" w:hAnsi="Times New Roman" w:cs="Times New Roman"/>
          <w:sz w:val="24"/>
          <w:szCs w:val="24"/>
        </w:rPr>
        <w:t xml:space="preserve"> sasaistes principus, kuri nosaka vai nu prasības pretendēšanai uz  </w:t>
      </w:r>
      <w:r w:rsidR="006E627B">
        <w:rPr>
          <w:rFonts w:ascii="Times New Roman" w:hAnsi="Times New Roman" w:cs="Times New Roman"/>
          <w:sz w:val="24"/>
          <w:szCs w:val="24"/>
        </w:rPr>
        <w:t>zinātnes b</w:t>
      </w:r>
      <w:r w:rsidR="006E627B" w:rsidRPr="006913F3">
        <w:rPr>
          <w:rFonts w:ascii="Times New Roman" w:hAnsi="Times New Roman" w:cs="Times New Roman"/>
          <w:sz w:val="24"/>
          <w:szCs w:val="24"/>
        </w:rPr>
        <w:t xml:space="preserve">āzes </w:t>
      </w:r>
      <w:r w:rsidR="00195B4F" w:rsidRPr="006913F3">
        <w:rPr>
          <w:rFonts w:ascii="Times New Roman" w:hAnsi="Times New Roman" w:cs="Times New Roman"/>
          <w:sz w:val="24"/>
          <w:szCs w:val="24"/>
        </w:rPr>
        <w:t>finansējumu, vai arī papildus finansiālus stimulus tām</w:t>
      </w:r>
      <w:r w:rsidR="006E627B">
        <w:rPr>
          <w:rFonts w:ascii="Times New Roman" w:hAnsi="Times New Roman" w:cs="Times New Roman"/>
          <w:sz w:val="24"/>
          <w:szCs w:val="24"/>
        </w:rPr>
        <w:t xml:space="preserve"> zinātniskajām</w:t>
      </w:r>
      <w:r w:rsidR="00195B4F" w:rsidRPr="006913F3">
        <w:rPr>
          <w:rFonts w:ascii="Times New Roman" w:hAnsi="Times New Roman" w:cs="Times New Roman"/>
          <w:sz w:val="24"/>
          <w:szCs w:val="24"/>
        </w:rPr>
        <w:t xml:space="preserve"> institūcijām vai vērtējamajām vienībām, kuras ir saņēmušas augstu novērtējumu</w:t>
      </w:r>
      <w:r w:rsidR="006E627B">
        <w:rPr>
          <w:rFonts w:ascii="Times New Roman" w:hAnsi="Times New Roman" w:cs="Times New Roman"/>
          <w:sz w:val="24"/>
          <w:szCs w:val="24"/>
        </w:rPr>
        <w:t xml:space="preserve"> 2019.gada novērtējumā </w:t>
      </w:r>
      <w:r w:rsidR="00195B4F" w:rsidRPr="006913F3">
        <w:rPr>
          <w:rFonts w:ascii="Times New Roman" w:hAnsi="Times New Roman" w:cs="Times New Roman"/>
          <w:sz w:val="24"/>
          <w:szCs w:val="24"/>
        </w:rPr>
        <w:t>.</w:t>
      </w:r>
    </w:p>
    <w:p w14:paraId="252A5877" w14:textId="364053C3" w:rsidR="006507AA" w:rsidRPr="006913F3" w:rsidRDefault="00195B4F" w:rsidP="00277DB6">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b/>
          <w:bCs/>
          <w:sz w:val="24"/>
          <w:szCs w:val="24"/>
        </w:rPr>
        <w:t xml:space="preserve">1. </w:t>
      </w:r>
      <w:r w:rsidR="006507AA" w:rsidRPr="006913F3">
        <w:rPr>
          <w:rFonts w:ascii="Times New Roman" w:hAnsi="Times New Roman" w:cs="Times New Roman"/>
          <w:b/>
          <w:bCs/>
          <w:sz w:val="24"/>
          <w:szCs w:val="24"/>
        </w:rPr>
        <w:t xml:space="preserve">Turpināt saglabāt principu </w:t>
      </w:r>
      <w:r w:rsidR="006507AA" w:rsidRPr="006913F3">
        <w:rPr>
          <w:rFonts w:ascii="Times New Roman" w:hAnsi="Times New Roman" w:cs="Times New Roman"/>
          <w:sz w:val="24"/>
          <w:szCs w:val="24"/>
        </w:rPr>
        <w:t xml:space="preserve">nepiešķirt </w:t>
      </w:r>
      <w:r w:rsidR="006E627B">
        <w:rPr>
          <w:rFonts w:ascii="Times New Roman" w:hAnsi="Times New Roman" w:cs="Times New Roman"/>
          <w:sz w:val="24"/>
          <w:szCs w:val="24"/>
        </w:rPr>
        <w:t>zinātnes b</w:t>
      </w:r>
      <w:r w:rsidR="006E627B" w:rsidRPr="006913F3">
        <w:rPr>
          <w:rFonts w:ascii="Times New Roman" w:hAnsi="Times New Roman" w:cs="Times New Roman"/>
          <w:sz w:val="24"/>
          <w:szCs w:val="24"/>
        </w:rPr>
        <w:t xml:space="preserve">āzes </w:t>
      </w:r>
      <w:r w:rsidR="006507AA" w:rsidRPr="006913F3">
        <w:rPr>
          <w:rFonts w:ascii="Times New Roman" w:hAnsi="Times New Roman" w:cs="Times New Roman"/>
          <w:sz w:val="24"/>
          <w:szCs w:val="24"/>
        </w:rPr>
        <w:t xml:space="preserve">finansējumu zinātniskajām </w:t>
      </w:r>
      <w:r w:rsidR="00B251D4" w:rsidRPr="006913F3">
        <w:rPr>
          <w:rFonts w:ascii="Times New Roman" w:hAnsi="Times New Roman" w:cs="Times New Roman"/>
          <w:sz w:val="24"/>
          <w:szCs w:val="24"/>
        </w:rPr>
        <w:t>institūcijām</w:t>
      </w:r>
      <w:r w:rsidR="00A469A6">
        <w:rPr>
          <w:rFonts w:ascii="Times New Roman" w:hAnsi="Times New Roman" w:cs="Times New Roman"/>
          <w:sz w:val="24"/>
          <w:szCs w:val="24"/>
        </w:rPr>
        <w:t>,</w:t>
      </w:r>
      <w:r w:rsidR="006507AA" w:rsidRPr="006913F3">
        <w:rPr>
          <w:rFonts w:ascii="Times New Roman" w:hAnsi="Times New Roman" w:cs="Times New Roman"/>
          <w:sz w:val="24"/>
          <w:szCs w:val="24"/>
        </w:rPr>
        <w:t xml:space="preserve"> kuru 2019.</w:t>
      </w:r>
      <w:r w:rsidR="000B0816">
        <w:rPr>
          <w:rFonts w:ascii="Times New Roman" w:hAnsi="Times New Roman" w:cs="Times New Roman"/>
          <w:sz w:val="24"/>
          <w:szCs w:val="24"/>
        </w:rPr>
        <w:t xml:space="preserve"> </w:t>
      </w:r>
      <w:r w:rsidR="006507AA" w:rsidRPr="006913F3">
        <w:rPr>
          <w:rFonts w:ascii="Times New Roman" w:hAnsi="Times New Roman" w:cs="Times New Roman"/>
          <w:sz w:val="24"/>
          <w:szCs w:val="24"/>
        </w:rPr>
        <w:t xml:space="preserve">gada </w:t>
      </w:r>
      <w:r w:rsidR="006E627B">
        <w:rPr>
          <w:rFonts w:ascii="Times New Roman" w:hAnsi="Times New Roman" w:cs="Times New Roman"/>
          <w:sz w:val="24"/>
          <w:szCs w:val="24"/>
        </w:rPr>
        <w:t>no</w:t>
      </w:r>
      <w:r w:rsidR="006507AA" w:rsidRPr="006913F3">
        <w:rPr>
          <w:rFonts w:ascii="Times New Roman" w:hAnsi="Times New Roman" w:cs="Times New Roman"/>
          <w:sz w:val="24"/>
          <w:szCs w:val="24"/>
        </w:rPr>
        <w:t>vērtējums ir 1 vai 2 (ar 1 vērtējamo vienību)</w:t>
      </w:r>
      <w:r w:rsidRPr="006913F3">
        <w:rPr>
          <w:rFonts w:ascii="Times New Roman" w:hAnsi="Times New Roman" w:cs="Times New Roman"/>
          <w:sz w:val="24"/>
          <w:szCs w:val="24"/>
        </w:rPr>
        <w:t xml:space="preserve">. Šāds princips ir jau šobrīd noteikts </w:t>
      </w:r>
      <w:r w:rsidR="003B6A49">
        <w:rPr>
          <w:rFonts w:ascii="Times New Roman" w:hAnsi="Times New Roman" w:cs="Times New Roman"/>
          <w:sz w:val="24"/>
          <w:szCs w:val="24"/>
        </w:rPr>
        <w:t xml:space="preserve">Ministru kabineta </w:t>
      </w:r>
      <w:r w:rsidR="006E627B">
        <w:rPr>
          <w:rFonts w:ascii="Times New Roman" w:hAnsi="Times New Roman" w:cs="Times New Roman"/>
          <w:sz w:val="24"/>
          <w:szCs w:val="24"/>
        </w:rPr>
        <w:t xml:space="preserve">2013. gada 12. novembra </w:t>
      </w:r>
      <w:r w:rsidR="003B6A49">
        <w:rPr>
          <w:rFonts w:ascii="Times New Roman" w:hAnsi="Times New Roman" w:cs="Times New Roman"/>
          <w:sz w:val="24"/>
          <w:szCs w:val="24"/>
        </w:rPr>
        <w:t>noteikumu Nr.1316 „</w:t>
      </w:r>
      <w:r w:rsidR="003B6A49" w:rsidRPr="003B6A49">
        <w:rPr>
          <w:rFonts w:ascii="Times New Roman" w:hAnsi="Times New Roman" w:cs="Times New Roman"/>
          <w:sz w:val="24"/>
          <w:szCs w:val="24"/>
        </w:rPr>
        <w:t>Kārtība, kādā aprēķina un piešķir bāzes finansējumu zinātniskajām institūcijām</w:t>
      </w:r>
      <w:r w:rsidR="003B6A49">
        <w:rPr>
          <w:rFonts w:ascii="Times New Roman" w:hAnsi="Times New Roman" w:cs="Times New Roman"/>
          <w:sz w:val="24"/>
          <w:szCs w:val="24"/>
        </w:rPr>
        <w:t>” (turpmāk – MK noteikumi Nr.1316) 11.2. apakšpunktā</w:t>
      </w:r>
      <w:r w:rsidRPr="006913F3">
        <w:rPr>
          <w:rFonts w:ascii="Times New Roman" w:hAnsi="Times New Roman" w:cs="Times New Roman"/>
          <w:sz w:val="24"/>
          <w:szCs w:val="24"/>
        </w:rPr>
        <w:t>:</w:t>
      </w:r>
    </w:p>
    <w:p w14:paraId="64C5A169" w14:textId="0DB7E415" w:rsidR="006507AA" w:rsidRPr="006913F3" w:rsidRDefault="003B6A49" w:rsidP="00277D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6507AA" w:rsidRPr="006913F3">
        <w:rPr>
          <w:rFonts w:ascii="Times New Roman" w:hAnsi="Times New Roman" w:cs="Times New Roman"/>
          <w:i/>
          <w:sz w:val="24"/>
          <w:szCs w:val="24"/>
        </w:rPr>
        <w:t>11.2 Izglītības un zinātnes ministrija nepiešķir bāzes finansējumu zinātniskajām institūcijām, kuras zinātnisko institūciju darbības starptautiskajā izvērtējumā saņēmušas novērtējumu "1" un "2" (izņemot zinātniskās institūcijas, kas piedalās Eiropas Savienības struktūrfondu darbības programmas "Uzņēmējdarbība un inovācijas" 2.1.1. pasākuma "Zinātne, pētniecība un attīstība" 2.1.1.3.3. apakšaktivitātes "Zinātnisko institūciju institucionālās kapacitātes attīstība" projektos kā konsolidējamās funkcionālās vienības).</w:t>
      </w:r>
      <w:r>
        <w:rPr>
          <w:rFonts w:ascii="Times New Roman" w:hAnsi="Times New Roman" w:cs="Times New Roman"/>
          <w:i/>
          <w:sz w:val="24"/>
          <w:szCs w:val="24"/>
        </w:rPr>
        <w:t>”</w:t>
      </w:r>
    </w:p>
    <w:p w14:paraId="15DD8D97" w14:textId="78CF4A74" w:rsidR="00195B4F" w:rsidRPr="003B6A49" w:rsidRDefault="00E41929" w:rsidP="00277DB6">
      <w:pPr>
        <w:spacing w:after="0" w:line="240" w:lineRule="auto"/>
        <w:ind w:firstLine="720"/>
        <w:jc w:val="both"/>
        <w:rPr>
          <w:rFonts w:ascii="Times New Roman" w:hAnsi="Times New Roman" w:cs="Times New Roman"/>
          <w:i/>
          <w:sz w:val="24"/>
          <w:szCs w:val="24"/>
        </w:rPr>
      </w:pPr>
      <w:r w:rsidRPr="00277DB6">
        <w:rPr>
          <w:rFonts w:ascii="Times New Roman" w:hAnsi="Times New Roman" w:cs="Times New Roman"/>
          <w:sz w:val="24"/>
          <w:szCs w:val="24"/>
        </w:rPr>
        <w:t xml:space="preserve">Piedāvājums ir saglabāt šādu sasaisti, svītrot atsauci uz 2.1.1.3.3. apakšaktivitāti, to aizvietojot ar </w:t>
      </w:r>
      <w:r w:rsidR="00D36DF5" w:rsidRPr="00277DB6">
        <w:rPr>
          <w:rFonts w:ascii="Times New Roman" w:hAnsi="Times New Roman" w:cs="Times New Roman"/>
          <w:sz w:val="24"/>
          <w:szCs w:val="24"/>
        </w:rPr>
        <w:t>dalību Eiropas Savienības Atveseļošanas un noturības mehānism</w:t>
      </w:r>
      <w:r w:rsidR="00C06202" w:rsidRPr="00277DB6">
        <w:rPr>
          <w:rFonts w:ascii="Times New Roman" w:hAnsi="Times New Roman" w:cs="Times New Roman"/>
          <w:sz w:val="24"/>
          <w:szCs w:val="24"/>
        </w:rPr>
        <w:t>ā</w:t>
      </w:r>
      <w:r w:rsidR="007B033E">
        <w:rPr>
          <w:rFonts w:ascii="Times New Roman" w:hAnsi="Times New Roman" w:cs="Times New Roman"/>
          <w:sz w:val="24"/>
          <w:szCs w:val="24"/>
        </w:rPr>
        <w:t xml:space="preserve"> augstskolu pārvaldības reformas ietvaros.</w:t>
      </w:r>
      <w:r w:rsidR="007B033E">
        <w:rPr>
          <w:rFonts w:ascii="Times New Roman" w:hAnsi="Times New Roman" w:cs="Times New Roman"/>
          <w:i/>
          <w:strike/>
          <w:sz w:val="24"/>
          <w:szCs w:val="24"/>
        </w:rPr>
        <w:t xml:space="preserve"> </w:t>
      </w:r>
    </w:p>
    <w:p w14:paraId="40DDFF7F" w14:textId="77777777" w:rsidR="00E41929" w:rsidRPr="006913F3" w:rsidRDefault="00E41929" w:rsidP="007B033E">
      <w:pPr>
        <w:spacing w:after="0" w:line="240" w:lineRule="auto"/>
        <w:jc w:val="both"/>
        <w:rPr>
          <w:rFonts w:ascii="Times New Roman" w:hAnsi="Times New Roman" w:cs="Times New Roman"/>
          <w:sz w:val="24"/>
          <w:szCs w:val="24"/>
        </w:rPr>
      </w:pPr>
    </w:p>
    <w:p w14:paraId="4DD091D7" w14:textId="13578708" w:rsidR="002434B7" w:rsidRPr="006913F3" w:rsidRDefault="00E41929" w:rsidP="007B033E">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b/>
          <w:bCs/>
          <w:sz w:val="24"/>
          <w:szCs w:val="24"/>
        </w:rPr>
        <w:t xml:space="preserve">2. </w:t>
      </w:r>
      <w:r w:rsidR="006507AA" w:rsidRPr="006913F3">
        <w:rPr>
          <w:rFonts w:ascii="Times New Roman" w:hAnsi="Times New Roman" w:cs="Times New Roman"/>
          <w:b/>
          <w:bCs/>
          <w:sz w:val="24"/>
          <w:szCs w:val="24"/>
        </w:rPr>
        <w:t xml:space="preserve">Definēt </w:t>
      </w:r>
      <w:r w:rsidRPr="006913F3">
        <w:rPr>
          <w:rFonts w:ascii="Times New Roman" w:hAnsi="Times New Roman" w:cs="Times New Roman"/>
          <w:b/>
          <w:bCs/>
          <w:sz w:val="24"/>
          <w:szCs w:val="24"/>
        </w:rPr>
        <w:t xml:space="preserve">jaunu </w:t>
      </w:r>
      <w:r w:rsidR="006507AA" w:rsidRPr="006913F3">
        <w:rPr>
          <w:rFonts w:ascii="Times New Roman" w:hAnsi="Times New Roman" w:cs="Times New Roman"/>
          <w:b/>
          <w:bCs/>
          <w:sz w:val="24"/>
          <w:szCs w:val="24"/>
        </w:rPr>
        <w:t xml:space="preserve">principu </w:t>
      </w:r>
      <w:r w:rsidR="006507AA" w:rsidRPr="006913F3">
        <w:rPr>
          <w:rFonts w:ascii="Times New Roman" w:hAnsi="Times New Roman" w:cs="Times New Roman"/>
          <w:sz w:val="24"/>
          <w:szCs w:val="24"/>
        </w:rPr>
        <w:t xml:space="preserve">nepiešķirt </w:t>
      </w:r>
      <w:r w:rsidR="00124A1A">
        <w:rPr>
          <w:rFonts w:ascii="Times New Roman" w:hAnsi="Times New Roman" w:cs="Times New Roman"/>
          <w:sz w:val="24"/>
          <w:szCs w:val="24"/>
        </w:rPr>
        <w:t>zinātnes b</w:t>
      </w:r>
      <w:r w:rsidR="00124A1A" w:rsidRPr="006913F3">
        <w:rPr>
          <w:rFonts w:ascii="Times New Roman" w:hAnsi="Times New Roman" w:cs="Times New Roman"/>
          <w:sz w:val="24"/>
          <w:szCs w:val="24"/>
        </w:rPr>
        <w:t xml:space="preserve">āzes </w:t>
      </w:r>
      <w:r w:rsidR="006507AA" w:rsidRPr="006913F3">
        <w:rPr>
          <w:rFonts w:ascii="Times New Roman" w:hAnsi="Times New Roman" w:cs="Times New Roman"/>
          <w:sz w:val="24"/>
          <w:szCs w:val="24"/>
        </w:rPr>
        <w:t>finansējumu valsts augstskolām, kuru 2019.</w:t>
      </w:r>
      <w:r w:rsidR="000B0816">
        <w:rPr>
          <w:rFonts w:ascii="Times New Roman" w:hAnsi="Times New Roman" w:cs="Times New Roman"/>
          <w:sz w:val="24"/>
          <w:szCs w:val="24"/>
        </w:rPr>
        <w:t xml:space="preserve"> </w:t>
      </w:r>
      <w:r w:rsidR="006507AA" w:rsidRPr="006913F3">
        <w:rPr>
          <w:rFonts w:ascii="Times New Roman" w:hAnsi="Times New Roman" w:cs="Times New Roman"/>
          <w:sz w:val="24"/>
          <w:szCs w:val="24"/>
        </w:rPr>
        <w:t xml:space="preserve">gada </w:t>
      </w:r>
      <w:r w:rsidR="00124A1A">
        <w:rPr>
          <w:rFonts w:ascii="Times New Roman" w:hAnsi="Times New Roman" w:cs="Times New Roman"/>
          <w:sz w:val="24"/>
          <w:szCs w:val="24"/>
        </w:rPr>
        <w:t xml:space="preserve">novērtējuma </w:t>
      </w:r>
      <w:r w:rsidR="006507AA" w:rsidRPr="006913F3">
        <w:rPr>
          <w:rFonts w:ascii="Times New Roman" w:hAnsi="Times New Roman" w:cs="Times New Roman"/>
          <w:sz w:val="24"/>
          <w:szCs w:val="24"/>
        </w:rPr>
        <w:t>vidējais vērtējums ir</w:t>
      </w:r>
      <w:r w:rsidR="00C50B88" w:rsidRPr="006913F3">
        <w:rPr>
          <w:rFonts w:ascii="Times New Roman" w:hAnsi="Times New Roman" w:cs="Times New Roman"/>
          <w:sz w:val="24"/>
          <w:szCs w:val="24"/>
        </w:rPr>
        <w:t xml:space="preserve"> </w:t>
      </w:r>
      <w:r w:rsidR="006507AA" w:rsidRPr="006913F3">
        <w:rPr>
          <w:rFonts w:ascii="Times New Roman" w:hAnsi="Times New Roman" w:cs="Times New Roman"/>
          <w:sz w:val="24"/>
          <w:szCs w:val="24"/>
        </w:rPr>
        <w:t xml:space="preserve"> 2</w:t>
      </w:r>
      <w:r w:rsidR="00124A1A">
        <w:rPr>
          <w:rFonts w:ascii="Times New Roman" w:hAnsi="Times New Roman" w:cs="Times New Roman"/>
          <w:sz w:val="24"/>
          <w:szCs w:val="24"/>
        </w:rPr>
        <w:t xml:space="preserve"> </w:t>
      </w:r>
      <w:r w:rsidR="006507AA" w:rsidRPr="006913F3">
        <w:rPr>
          <w:rFonts w:ascii="Times New Roman" w:hAnsi="Times New Roman" w:cs="Times New Roman"/>
          <w:sz w:val="24"/>
          <w:szCs w:val="24"/>
        </w:rPr>
        <w:t>(ar vairākām vērtējamām vienībām)</w:t>
      </w:r>
      <w:r w:rsidR="00C06202">
        <w:rPr>
          <w:rFonts w:ascii="Times New Roman" w:hAnsi="Times New Roman" w:cs="Times New Roman"/>
          <w:sz w:val="24"/>
          <w:szCs w:val="24"/>
        </w:rPr>
        <w:t>,</w:t>
      </w:r>
      <w:r w:rsidR="002434B7" w:rsidRPr="006913F3">
        <w:rPr>
          <w:rFonts w:ascii="Times New Roman" w:hAnsi="Times New Roman" w:cs="Times New Roman"/>
          <w:sz w:val="24"/>
          <w:szCs w:val="24"/>
        </w:rPr>
        <w:t xml:space="preserve"> tajā pašā </w:t>
      </w:r>
      <w:r w:rsidR="00B251D4" w:rsidRPr="006913F3">
        <w:rPr>
          <w:rFonts w:ascii="Times New Roman" w:hAnsi="Times New Roman" w:cs="Times New Roman"/>
          <w:sz w:val="24"/>
          <w:szCs w:val="24"/>
        </w:rPr>
        <w:t>laikā nosakot</w:t>
      </w:r>
      <w:r w:rsidR="003B6A49">
        <w:rPr>
          <w:rFonts w:ascii="Times New Roman" w:hAnsi="Times New Roman" w:cs="Times New Roman"/>
          <w:sz w:val="24"/>
          <w:szCs w:val="24"/>
        </w:rPr>
        <w:t xml:space="preserve"> novērtējuma</w:t>
      </w:r>
      <w:r w:rsidR="00B251D4" w:rsidRPr="006913F3">
        <w:rPr>
          <w:rFonts w:ascii="Times New Roman" w:hAnsi="Times New Roman" w:cs="Times New Roman"/>
          <w:sz w:val="24"/>
          <w:szCs w:val="24"/>
        </w:rPr>
        <w:t xml:space="preserve"> rezultā</w:t>
      </w:r>
      <w:r w:rsidR="002434B7" w:rsidRPr="006913F3">
        <w:rPr>
          <w:rFonts w:ascii="Times New Roman" w:hAnsi="Times New Roman" w:cs="Times New Roman"/>
          <w:sz w:val="24"/>
          <w:szCs w:val="24"/>
        </w:rPr>
        <w:t>tu sasaisti šo augstskolu iespējai pretendēt uz zinātnes bāzes finansējumu ar augstskolai noteikto tipu nosakot, ka:</w:t>
      </w:r>
    </w:p>
    <w:p w14:paraId="12590FDE" w14:textId="05D2B83C" w:rsidR="002434B7" w:rsidRPr="003B6A49" w:rsidRDefault="00C06202" w:rsidP="007B033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3B6A49">
        <w:rPr>
          <w:rFonts w:ascii="Times New Roman" w:hAnsi="Times New Roman" w:cs="Times New Roman"/>
          <w:sz w:val="24"/>
          <w:szCs w:val="24"/>
        </w:rPr>
        <w:t xml:space="preserve">inātnes </w:t>
      </w:r>
      <w:r w:rsidR="002434B7" w:rsidRPr="003B6A49">
        <w:rPr>
          <w:rFonts w:ascii="Times New Roman" w:hAnsi="Times New Roman" w:cs="Times New Roman"/>
          <w:sz w:val="24"/>
          <w:szCs w:val="24"/>
        </w:rPr>
        <w:t>universitātei – vidējais</w:t>
      </w:r>
      <w:r>
        <w:rPr>
          <w:rFonts w:ascii="Times New Roman" w:hAnsi="Times New Roman" w:cs="Times New Roman"/>
          <w:sz w:val="24"/>
          <w:szCs w:val="24"/>
        </w:rPr>
        <w:t xml:space="preserve"> svērtais</w:t>
      </w:r>
      <w:r w:rsidR="002434B7" w:rsidRPr="003B6A49">
        <w:rPr>
          <w:rFonts w:ascii="Times New Roman" w:hAnsi="Times New Roman" w:cs="Times New Roman"/>
          <w:sz w:val="24"/>
          <w:szCs w:val="24"/>
        </w:rPr>
        <w:t xml:space="preserve"> augstskolas starptautiskas </w:t>
      </w:r>
      <w:r w:rsidR="003B6A49" w:rsidRPr="003B6A49">
        <w:rPr>
          <w:rFonts w:ascii="Times New Roman" w:hAnsi="Times New Roman" w:cs="Times New Roman"/>
          <w:sz w:val="24"/>
          <w:szCs w:val="24"/>
        </w:rPr>
        <w:t>novērtējums</w:t>
      </w:r>
      <w:r w:rsidR="002434B7" w:rsidRPr="003B6A49">
        <w:rPr>
          <w:rFonts w:ascii="Times New Roman" w:hAnsi="Times New Roman" w:cs="Times New Roman"/>
          <w:sz w:val="24"/>
          <w:szCs w:val="24"/>
        </w:rPr>
        <w:t xml:space="preserve"> ir vismaz 3 </w:t>
      </w:r>
      <w:r>
        <w:rPr>
          <w:rFonts w:ascii="Times New Roman" w:hAnsi="Times New Roman" w:cs="Times New Roman"/>
          <w:sz w:val="24"/>
          <w:szCs w:val="24"/>
        </w:rPr>
        <w:t>punkti</w:t>
      </w:r>
      <w:r w:rsidR="003B6A49" w:rsidRPr="003B6A49">
        <w:rPr>
          <w:rFonts w:ascii="Times New Roman" w:hAnsi="Times New Roman" w:cs="Times New Roman"/>
          <w:sz w:val="24"/>
          <w:szCs w:val="24"/>
        </w:rPr>
        <w:t>;</w:t>
      </w:r>
    </w:p>
    <w:p w14:paraId="5ED0126A" w14:textId="748324CE" w:rsidR="002434B7" w:rsidRPr="003B6A49" w:rsidRDefault="00C06202" w:rsidP="007B033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3B6A49">
        <w:rPr>
          <w:rFonts w:ascii="Times New Roman" w:hAnsi="Times New Roman" w:cs="Times New Roman"/>
          <w:sz w:val="24"/>
          <w:szCs w:val="24"/>
        </w:rPr>
        <w:t xml:space="preserve">ākslu </w:t>
      </w:r>
      <w:r w:rsidR="002434B7" w:rsidRPr="003B6A49">
        <w:rPr>
          <w:rFonts w:ascii="Times New Roman" w:hAnsi="Times New Roman" w:cs="Times New Roman"/>
          <w:sz w:val="24"/>
          <w:szCs w:val="24"/>
        </w:rPr>
        <w:t>un kultūra</w:t>
      </w:r>
      <w:r w:rsidR="00B251D4" w:rsidRPr="003B6A49">
        <w:rPr>
          <w:rFonts w:ascii="Times New Roman" w:hAnsi="Times New Roman" w:cs="Times New Roman"/>
          <w:sz w:val="24"/>
          <w:szCs w:val="24"/>
        </w:rPr>
        <w:t xml:space="preserve">s universitātēm </w:t>
      </w:r>
      <w:r>
        <w:rPr>
          <w:rFonts w:ascii="Times New Roman" w:hAnsi="Times New Roman" w:cs="Times New Roman"/>
          <w:sz w:val="24"/>
          <w:szCs w:val="24"/>
        </w:rPr>
        <w:t>–</w:t>
      </w:r>
      <w:r w:rsidR="00B251D4" w:rsidRPr="003B6A49">
        <w:rPr>
          <w:rFonts w:ascii="Times New Roman" w:hAnsi="Times New Roman" w:cs="Times New Roman"/>
          <w:sz w:val="24"/>
          <w:szCs w:val="24"/>
        </w:rPr>
        <w:t xml:space="preserve"> vismaz 3 </w:t>
      </w:r>
      <w:r>
        <w:rPr>
          <w:rFonts w:ascii="Times New Roman" w:hAnsi="Times New Roman" w:cs="Times New Roman"/>
          <w:sz w:val="24"/>
          <w:szCs w:val="24"/>
        </w:rPr>
        <w:t>punktu</w:t>
      </w:r>
      <w:r w:rsidRPr="003B6A49">
        <w:rPr>
          <w:rFonts w:ascii="Times New Roman" w:hAnsi="Times New Roman" w:cs="Times New Roman"/>
          <w:sz w:val="24"/>
          <w:szCs w:val="24"/>
        </w:rPr>
        <w:t xml:space="preserve"> </w:t>
      </w:r>
      <w:r w:rsidR="002434B7" w:rsidRPr="003B6A49">
        <w:rPr>
          <w:rFonts w:ascii="Times New Roman" w:hAnsi="Times New Roman" w:cs="Times New Roman"/>
          <w:sz w:val="24"/>
          <w:szCs w:val="24"/>
        </w:rPr>
        <w:t>novērtējums humanitārajās zinātnēs un mākslās</w:t>
      </w:r>
      <w:r w:rsidR="003B6A49" w:rsidRPr="003B6A49">
        <w:rPr>
          <w:rFonts w:ascii="Times New Roman" w:hAnsi="Times New Roman" w:cs="Times New Roman"/>
          <w:sz w:val="24"/>
          <w:szCs w:val="24"/>
        </w:rPr>
        <w:t>;</w:t>
      </w:r>
    </w:p>
    <w:p w14:paraId="6F5F4D8A" w14:textId="469C2E20" w:rsidR="002434B7" w:rsidRPr="003B6A49" w:rsidRDefault="00C06202" w:rsidP="007B033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l</w:t>
      </w:r>
      <w:r w:rsidRPr="003B6A49">
        <w:rPr>
          <w:rFonts w:ascii="Times New Roman" w:hAnsi="Times New Roman" w:cs="Times New Roman"/>
          <w:sz w:val="24"/>
          <w:szCs w:val="24"/>
          <w:shd w:val="clear" w:color="auto" w:fill="FFFFFF"/>
        </w:rPr>
        <w:t xml:space="preserve">ietišķo </w:t>
      </w:r>
      <w:r w:rsidR="002434B7" w:rsidRPr="003B6A49">
        <w:rPr>
          <w:rFonts w:ascii="Times New Roman" w:hAnsi="Times New Roman" w:cs="Times New Roman"/>
          <w:sz w:val="24"/>
          <w:szCs w:val="24"/>
          <w:shd w:val="clear" w:color="auto" w:fill="FFFFFF"/>
        </w:rPr>
        <w:t xml:space="preserve">zinātņu universitātēm </w:t>
      </w:r>
      <w:r>
        <w:rPr>
          <w:rFonts w:ascii="Times New Roman" w:hAnsi="Times New Roman" w:cs="Times New Roman"/>
          <w:sz w:val="24"/>
          <w:szCs w:val="24"/>
          <w:shd w:val="clear" w:color="auto" w:fill="FFFFFF"/>
        </w:rPr>
        <w:t>–</w:t>
      </w:r>
      <w:r w:rsidR="002434B7" w:rsidRPr="003B6A49">
        <w:rPr>
          <w:rFonts w:ascii="Times New Roman" w:hAnsi="Times New Roman" w:cs="Times New Roman"/>
          <w:sz w:val="24"/>
          <w:szCs w:val="24"/>
          <w:shd w:val="clear" w:color="auto" w:fill="FFFFFF"/>
        </w:rPr>
        <w:t xml:space="preserve"> </w:t>
      </w:r>
      <w:r w:rsidR="002434B7" w:rsidRPr="003B6A49">
        <w:rPr>
          <w:rFonts w:ascii="Times New Roman" w:hAnsi="Times New Roman" w:cs="Times New Roman"/>
          <w:sz w:val="24"/>
          <w:szCs w:val="24"/>
        </w:rPr>
        <w:t xml:space="preserve">vismaz </w:t>
      </w:r>
      <w:r>
        <w:rPr>
          <w:rFonts w:ascii="Times New Roman" w:hAnsi="Times New Roman" w:cs="Times New Roman"/>
          <w:sz w:val="24"/>
          <w:szCs w:val="24"/>
        </w:rPr>
        <w:t>3</w:t>
      </w:r>
      <w:r w:rsidRPr="003B6A49">
        <w:rPr>
          <w:rFonts w:ascii="Times New Roman" w:hAnsi="Times New Roman" w:cs="Times New Roman"/>
          <w:sz w:val="24"/>
          <w:szCs w:val="24"/>
        </w:rPr>
        <w:t xml:space="preserve"> </w:t>
      </w:r>
      <w:r>
        <w:rPr>
          <w:rFonts w:ascii="Times New Roman" w:hAnsi="Times New Roman" w:cs="Times New Roman"/>
          <w:sz w:val="24"/>
          <w:szCs w:val="24"/>
        </w:rPr>
        <w:t>punktu</w:t>
      </w:r>
      <w:r w:rsidRPr="003B6A49">
        <w:rPr>
          <w:rFonts w:ascii="Times New Roman" w:hAnsi="Times New Roman" w:cs="Times New Roman"/>
          <w:sz w:val="24"/>
          <w:szCs w:val="24"/>
        </w:rPr>
        <w:t xml:space="preserve"> </w:t>
      </w:r>
      <w:r w:rsidR="002434B7" w:rsidRPr="003B6A49">
        <w:rPr>
          <w:rFonts w:ascii="Times New Roman" w:hAnsi="Times New Roman" w:cs="Times New Roman"/>
          <w:sz w:val="24"/>
          <w:szCs w:val="24"/>
        </w:rPr>
        <w:t>vidējais novērtējums un vismaz 2 zinātnes nozaru grupās ir iegūts vērtējums vismaz 3 balles</w:t>
      </w:r>
      <w:r w:rsidR="003B6A49" w:rsidRPr="003B6A49">
        <w:rPr>
          <w:rFonts w:ascii="Times New Roman" w:hAnsi="Times New Roman" w:cs="Times New Roman"/>
          <w:sz w:val="24"/>
          <w:szCs w:val="24"/>
        </w:rPr>
        <w:t>;</w:t>
      </w:r>
    </w:p>
    <w:p w14:paraId="533286C4" w14:textId="5D350B13" w:rsidR="002434B7" w:rsidRPr="003B6A49" w:rsidRDefault="00C06202" w:rsidP="007B033E">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l</w:t>
      </w:r>
      <w:r w:rsidRPr="003B6A49">
        <w:rPr>
          <w:rFonts w:ascii="Times New Roman" w:hAnsi="Times New Roman" w:cs="Times New Roman"/>
          <w:sz w:val="24"/>
          <w:szCs w:val="24"/>
          <w:shd w:val="clear" w:color="auto" w:fill="FFFFFF"/>
        </w:rPr>
        <w:t xml:space="preserve">ietišķo </w:t>
      </w:r>
      <w:r w:rsidR="002434B7" w:rsidRPr="003B6A49">
        <w:rPr>
          <w:rFonts w:ascii="Times New Roman" w:hAnsi="Times New Roman" w:cs="Times New Roman"/>
          <w:sz w:val="24"/>
          <w:szCs w:val="24"/>
          <w:shd w:val="clear" w:color="auto" w:fill="FFFFFF"/>
        </w:rPr>
        <w:t xml:space="preserve">zinātņu augstskolām </w:t>
      </w:r>
      <w:r>
        <w:rPr>
          <w:rFonts w:ascii="Times New Roman" w:hAnsi="Times New Roman" w:cs="Times New Roman"/>
          <w:sz w:val="24"/>
          <w:szCs w:val="24"/>
          <w:shd w:val="clear" w:color="auto" w:fill="FFFFFF"/>
        </w:rPr>
        <w:t>–</w:t>
      </w:r>
      <w:r w:rsidR="002434B7" w:rsidRPr="003B6A49">
        <w:rPr>
          <w:rFonts w:ascii="Times New Roman" w:hAnsi="Times New Roman" w:cs="Times New Roman"/>
          <w:sz w:val="24"/>
          <w:szCs w:val="24"/>
          <w:shd w:val="clear" w:color="auto" w:fill="FFFFFF"/>
        </w:rPr>
        <w:t xml:space="preserve"> </w:t>
      </w:r>
      <w:r w:rsidR="002434B7" w:rsidRPr="003B6A49">
        <w:rPr>
          <w:rFonts w:ascii="Times New Roman" w:hAnsi="Times New Roman" w:cs="Times New Roman"/>
          <w:sz w:val="24"/>
          <w:szCs w:val="24"/>
        </w:rPr>
        <w:t xml:space="preserve">vismaz 2 </w:t>
      </w:r>
      <w:r>
        <w:rPr>
          <w:rFonts w:ascii="Times New Roman" w:hAnsi="Times New Roman" w:cs="Times New Roman"/>
          <w:sz w:val="24"/>
          <w:szCs w:val="24"/>
        </w:rPr>
        <w:t>punktu</w:t>
      </w:r>
      <w:r w:rsidRPr="003B6A49">
        <w:rPr>
          <w:rFonts w:ascii="Times New Roman" w:hAnsi="Times New Roman" w:cs="Times New Roman"/>
          <w:sz w:val="24"/>
          <w:szCs w:val="24"/>
        </w:rPr>
        <w:t xml:space="preserve"> </w:t>
      </w:r>
      <w:r w:rsidR="002434B7" w:rsidRPr="003B6A49">
        <w:rPr>
          <w:rFonts w:ascii="Times New Roman" w:hAnsi="Times New Roman" w:cs="Times New Roman"/>
          <w:sz w:val="24"/>
          <w:szCs w:val="24"/>
        </w:rPr>
        <w:t xml:space="preserve">vidējais novērtējums un vismaz 1 zinātnes nozaru grupā ir iegūts vērtējums vismaz 3 </w:t>
      </w:r>
      <w:r>
        <w:rPr>
          <w:rFonts w:ascii="Times New Roman" w:hAnsi="Times New Roman" w:cs="Times New Roman"/>
          <w:sz w:val="24"/>
          <w:szCs w:val="24"/>
        </w:rPr>
        <w:t>punkti</w:t>
      </w:r>
      <w:r w:rsidR="003B6A49" w:rsidRPr="003B6A49">
        <w:rPr>
          <w:rFonts w:ascii="Times New Roman" w:hAnsi="Times New Roman" w:cs="Times New Roman"/>
          <w:sz w:val="24"/>
          <w:szCs w:val="24"/>
        </w:rPr>
        <w:t>.</w:t>
      </w:r>
    </w:p>
    <w:p w14:paraId="64909409" w14:textId="49FF7715" w:rsidR="006507AA" w:rsidRPr="006913F3" w:rsidRDefault="00E41929" w:rsidP="007B033E">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Šāds mehānisms ir vajadz</w:t>
      </w:r>
      <w:r w:rsidR="00C10FFE" w:rsidRPr="006913F3">
        <w:rPr>
          <w:rFonts w:ascii="Times New Roman" w:hAnsi="Times New Roman" w:cs="Times New Roman"/>
          <w:sz w:val="24"/>
          <w:szCs w:val="24"/>
        </w:rPr>
        <w:t xml:space="preserve">īgs, lai novērstu situāciju, kurā </w:t>
      </w:r>
      <w:r w:rsidR="00124A1A">
        <w:rPr>
          <w:rFonts w:ascii="Times New Roman" w:hAnsi="Times New Roman" w:cs="Times New Roman"/>
          <w:sz w:val="24"/>
          <w:szCs w:val="24"/>
        </w:rPr>
        <w:t xml:space="preserve">zinātnisko </w:t>
      </w:r>
      <w:r w:rsidR="00C10FFE" w:rsidRPr="006913F3">
        <w:rPr>
          <w:rFonts w:ascii="Times New Roman" w:hAnsi="Times New Roman" w:cs="Times New Roman"/>
          <w:sz w:val="24"/>
          <w:szCs w:val="24"/>
        </w:rPr>
        <w:t xml:space="preserve">institūciju </w:t>
      </w:r>
      <w:r w:rsidR="00C50B88" w:rsidRPr="006913F3">
        <w:rPr>
          <w:rFonts w:ascii="Times New Roman" w:hAnsi="Times New Roman" w:cs="Times New Roman"/>
          <w:sz w:val="24"/>
          <w:szCs w:val="24"/>
        </w:rPr>
        <w:t>iespējas pretendēt</w:t>
      </w:r>
      <w:r w:rsidR="00C10FFE" w:rsidRPr="006913F3">
        <w:rPr>
          <w:rFonts w:ascii="Times New Roman" w:hAnsi="Times New Roman" w:cs="Times New Roman"/>
          <w:sz w:val="24"/>
          <w:szCs w:val="24"/>
        </w:rPr>
        <w:t xml:space="preserve"> uz zinātnes bāzes finansējumu ir ne tikai saistīta</w:t>
      </w:r>
      <w:r w:rsidR="00C50B88" w:rsidRPr="006913F3">
        <w:rPr>
          <w:rFonts w:ascii="Times New Roman" w:hAnsi="Times New Roman" w:cs="Times New Roman"/>
          <w:sz w:val="24"/>
          <w:szCs w:val="24"/>
        </w:rPr>
        <w:t>s</w:t>
      </w:r>
      <w:r w:rsidR="00C10FFE" w:rsidRPr="006913F3">
        <w:rPr>
          <w:rFonts w:ascii="Times New Roman" w:hAnsi="Times New Roman" w:cs="Times New Roman"/>
          <w:sz w:val="24"/>
          <w:szCs w:val="24"/>
        </w:rPr>
        <w:t xml:space="preserve"> </w:t>
      </w:r>
      <w:r w:rsidR="00C10FFE" w:rsidRPr="00124A1A">
        <w:rPr>
          <w:rFonts w:ascii="Times New Roman" w:hAnsi="Times New Roman" w:cs="Times New Roman"/>
          <w:sz w:val="24"/>
          <w:szCs w:val="24"/>
        </w:rPr>
        <w:t>ar</w:t>
      </w:r>
      <w:r w:rsidR="00124A1A" w:rsidRPr="00124A1A">
        <w:rPr>
          <w:rFonts w:ascii="Times New Roman" w:hAnsi="Times New Roman" w:cs="Times New Roman"/>
          <w:sz w:val="24"/>
          <w:szCs w:val="24"/>
        </w:rPr>
        <w:t xml:space="preserve"> zinātnisko institūciju darbības starptautiskajā izvērtējuma</w:t>
      </w:r>
      <w:r w:rsidR="003B6A49" w:rsidRPr="00124A1A">
        <w:rPr>
          <w:rFonts w:ascii="Times New Roman" w:hAnsi="Times New Roman" w:cs="Times New Roman"/>
          <w:sz w:val="24"/>
          <w:szCs w:val="24"/>
        </w:rPr>
        <w:t xml:space="preserve"> </w:t>
      </w:r>
      <w:r w:rsidR="00C10FFE" w:rsidRPr="00124A1A">
        <w:rPr>
          <w:rFonts w:ascii="Times New Roman" w:hAnsi="Times New Roman" w:cs="Times New Roman"/>
          <w:sz w:val="24"/>
          <w:szCs w:val="24"/>
        </w:rPr>
        <w:t xml:space="preserve">rezultātiem, bet arī ar </w:t>
      </w:r>
      <w:r w:rsidR="00C10FFE" w:rsidRPr="006913F3">
        <w:rPr>
          <w:rFonts w:ascii="Times New Roman" w:hAnsi="Times New Roman" w:cs="Times New Roman"/>
          <w:sz w:val="24"/>
          <w:szCs w:val="24"/>
        </w:rPr>
        <w:t xml:space="preserve">to, cik vērtējamās vienības tika </w:t>
      </w:r>
      <w:r w:rsidR="00124A1A">
        <w:rPr>
          <w:rFonts w:ascii="Times New Roman" w:hAnsi="Times New Roman" w:cs="Times New Roman"/>
          <w:sz w:val="24"/>
          <w:szCs w:val="24"/>
        </w:rPr>
        <w:t xml:space="preserve">vienas zinatniskās </w:t>
      </w:r>
      <w:r w:rsidR="00C10FFE" w:rsidRPr="006913F3">
        <w:rPr>
          <w:rFonts w:ascii="Times New Roman" w:hAnsi="Times New Roman" w:cs="Times New Roman"/>
          <w:sz w:val="24"/>
          <w:szCs w:val="24"/>
        </w:rPr>
        <w:t>institūcij</w:t>
      </w:r>
      <w:r w:rsidR="00124A1A">
        <w:rPr>
          <w:rFonts w:ascii="Times New Roman" w:hAnsi="Times New Roman" w:cs="Times New Roman"/>
          <w:sz w:val="24"/>
          <w:szCs w:val="24"/>
        </w:rPr>
        <w:t>as</w:t>
      </w:r>
      <w:r w:rsidR="00C10FFE" w:rsidRPr="006913F3">
        <w:rPr>
          <w:rFonts w:ascii="Times New Roman" w:hAnsi="Times New Roman" w:cs="Times New Roman"/>
          <w:sz w:val="24"/>
          <w:szCs w:val="24"/>
        </w:rPr>
        <w:t xml:space="preserve"> ietvaros vērtētas. Jo, nenosakot kārtību, kurā tiek definēta atbilstība zinātnes bāzes finansējuma saņemšanai zinātniskajām institūcijām ar vairākām vērtējamajām vienībām, izveidojas situācija, kurā šādas </w:t>
      </w:r>
      <w:r w:rsidR="00124A1A">
        <w:rPr>
          <w:rFonts w:ascii="Times New Roman" w:hAnsi="Times New Roman" w:cs="Times New Roman"/>
          <w:sz w:val="24"/>
          <w:szCs w:val="24"/>
        </w:rPr>
        <w:t xml:space="preserve">zinātniskās </w:t>
      </w:r>
      <w:r w:rsidR="00C10FFE" w:rsidRPr="006913F3">
        <w:rPr>
          <w:rFonts w:ascii="Times New Roman" w:hAnsi="Times New Roman" w:cs="Times New Roman"/>
          <w:sz w:val="24"/>
          <w:szCs w:val="24"/>
        </w:rPr>
        <w:t>institūcijas saņem šo finansējumu neatkarīgi no</w:t>
      </w:r>
      <w:r w:rsidR="00C50B88" w:rsidRPr="006913F3">
        <w:rPr>
          <w:rFonts w:ascii="Times New Roman" w:hAnsi="Times New Roman" w:cs="Times New Roman"/>
          <w:sz w:val="24"/>
          <w:szCs w:val="24"/>
        </w:rPr>
        <w:t xml:space="preserve"> iegūtā </w:t>
      </w:r>
      <w:r w:rsidR="00124A1A" w:rsidRPr="00124A1A">
        <w:rPr>
          <w:rFonts w:ascii="Times New Roman" w:hAnsi="Times New Roman" w:cs="Times New Roman"/>
          <w:sz w:val="24"/>
          <w:szCs w:val="24"/>
        </w:rPr>
        <w:t xml:space="preserve">zinātnisko institūciju darbības </w:t>
      </w:r>
      <w:r w:rsidR="00C50B88" w:rsidRPr="006913F3">
        <w:rPr>
          <w:rFonts w:ascii="Times New Roman" w:hAnsi="Times New Roman" w:cs="Times New Roman"/>
          <w:sz w:val="24"/>
          <w:szCs w:val="24"/>
        </w:rPr>
        <w:t xml:space="preserve">starptautiskā </w:t>
      </w:r>
      <w:r w:rsidR="003B6A49">
        <w:rPr>
          <w:rFonts w:ascii="Times New Roman" w:hAnsi="Times New Roman" w:cs="Times New Roman"/>
          <w:sz w:val="24"/>
          <w:szCs w:val="24"/>
        </w:rPr>
        <w:t>novērtējuma</w:t>
      </w:r>
      <w:r w:rsidR="00C10FFE" w:rsidRPr="006913F3">
        <w:rPr>
          <w:rFonts w:ascii="Times New Roman" w:hAnsi="Times New Roman" w:cs="Times New Roman"/>
          <w:sz w:val="24"/>
          <w:szCs w:val="24"/>
        </w:rPr>
        <w:t xml:space="preserve"> rezultāta, pat, ja tas ir bijis </w:t>
      </w:r>
      <w:r w:rsidR="00C50B88" w:rsidRPr="006913F3">
        <w:rPr>
          <w:rFonts w:ascii="Times New Roman" w:hAnsi="Times New Roman" w:cs="Times New Roman"/>
          <w:sz w:val="24"/>
          <w:szCs w:val="24"/>
        </w:rPr>
        <w:t>nepietiekams</w:t>
      </w:r>
      <w:r w:rsidR="00C10FFE" w:rsidRPr="006913F3">
        <w:rPr>
          <w:rFonts w:ascii="Times New Roman" w:hAnsi="Times New Roman" w:cs="Times New Roman"/>
          <w:sz w:val="24"/>
          <w:szCs w:val="24"/>
        </w:rPr>
        <w:t>.</w:t>
      </w:r>
    </w:p>
    <w:p w14:paraId="0682C44D" w14:textId="672AA7F3" w:rsidR="00C10FFE" w:rsidRPr="006913F3" w:rsidRDefault="00AB3FBC" w:rsidP="007B03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Būtiski ir definēt principu, kā</w:t>
      </w:r>
      <w:r w:rsidR="00C10FFE" w:rsidRPr="006913F3">
        <w:rPr>
          <w:rFonts w:ascii="Times New Roman" w:hAnsi="Times New Roman" w:cs="Times New Roman"/>
          <w:sz w:val="24"/>
          <w:szCs w:val="24"/>
        </w:rPr>
        <w:t xml:space="preserve"> noteikt šādām </w:t>
      </w:r>
      <w:r w:rsidR="00124A1A">
        <w:rPr>
          <w:rFonts w:ascii="Times New Roman" w:hAnsi="Times New Roman" w:cs="Times New Roman"/>
          <w:sz w:val="24"/>
          <w:szCs w:val="24"/>
        </w:rPr>
        <w:t xml:space="preserve">zinātniskajām </w:t>
      </w:r>
      <w:r w:rsidR="00C10FFE" w:rsidRPr="006913F3">
        <w:rPr>
          <w:rFonts w:ascii="Times New Roman" w:hAnsi="Times New Roman" w:cs="Times New Roman"/>
          <w:sz w:val="24"/>
          <w:szCs w:val="24"/>
        </w:rPr>
        <w:t>institūcijām (8 valsts augstskolas) kopējo</w:t>
      </w:r>
      <w:r>
        <w:rPr>
          <w:rFonts w:ascii="Times New Roman" w:hAnsi="Times New Roman" w:cs="Times New Roman"/>
          <w:sz w:val="24"/>
          <w:szCs w:val="24"/>
        </w:rPr>
        <w:t xml:space="preserve"> (vidējo)</w:t>
      </w:r>
      <w:r w:rsidR="00C10FFE" w:rsidRPr="006913F3">
        <w:rPr>
          <w:rFonts w:ascii="Times New Roman" w:hAnsi="Times New Roman" w:cs="Times New Roman"/>
          <w:sz w:val="24"/>
          <w:szCs w:val="24"/>
        </w:rPr>
        <w:t xml:space="preserve"> vērtējumu. </w:t>
      </w:r>
      <w:r w:rsidR="00124A1A">
        <w:rPr>
          <w:rFonts w:ascii="Times New Roman" w:hAnsi="Times New Roman" w:cs="Times New Roman"/>
          <w:sz w:val="24"/>
          <w:szCs w:val="24"/>
        </w:rPr>
        <w:t>Ministrijas</w:t>
      </w:r>
      <w:r w:rsidRPr="006913F3">
        <w:rPr>
          <w:rFonts w:ascii="Times New Roman" w:hAnsi="Times New Roman" w:cs="Times New Roman"/>
          <w:sz w:val="24"/>
          <w:szCs w:val="24"/>
        </w:rPr>
        <w:t xml:space="preserve"> </w:t>
      </w:r>
      <w:r w:rsidR="00C10FFE" w:rsidRPr="006913F3">
        <w:rPr>
          <w:rFonts w:ascii="Times New Roman" w:hAnsi="Times New Roman" w:cs="Times New Roman"/>
          <w:sz w:val="24"/>
          <w:szCs w:val="24"/>
        </w:rPr>
        <w:t xml:space="preserve">ieskatā šeit nebūtu jāizmanto vienkāršs vidējais aritmētiskais vērtējums </w:t>
      </w:r>
      <w:r w:rsidR="007B033E">
        <w:rPr>
          <w:rFonts w:ascii="Times New Roman" w:hAnsi="Times New Roman" w:cs="Times New Roman"/>
          <w:sz w:val="24"/>
          <w:szCs w:val="24"/>
        </w:rPr>
        <w:t xml:space="preserve">starptautiskā novērtējuma </w:t>
      </w:r>
      <w:r w:rsidR="00C10FFE" w:rsidRPr="006913F3">
        <w:rPr>
          <w:rFonts w:ascii="Times New Roman" w:hAnsi="Times New Roman" w:cs="Times New Roman"/>
          <w:sz w:val="24"/>
          <w:szCs w:val="24"/>
        </w:rPr>
        <w:t xml:space="preserve">gala vērtējumiem atsevišķām vērtējamajām vienībām, galvenokārt </w:t>
      </w:r>
      <w:r>
        <w:rPr>
          <w:rFonts w:ascii="Times New Roman" w:hAnsi="Times New Roman" w:cs="Times New Roman"/>
          <w:sz w:val="24"/>
          <w:szCs w:val="24"/>
        </w:rPr>
        <w:t>dēļ tā</w:t>
      </w:r>
      <w:r w:rsidR="00C10FFE" w:rsidRPr="006913F3">
        <w:rPr>
          <w:rFonts w:ascii="Times New Roman" w:hAnsi="Times New Roman" w:cs="Times New Roman"/>
          <w:sz w:val="24"/>
          <w:szCs w:val="24"/>
        </w:rPr>
        <w:t xml:space="preserve">, ka vērtējamās vienības </w:t>
      </w:r>
      <w:r w:rsidR="00124A1A">
        <w:rPr>
          <w:rFonts w:ascii="Times New Roman" w:hAnsi="Times New Roman" w:cs="Times New Roman"/>
          <w:sz w:val="24"/>
          <w:szCs w:val="24"/>
        </w:rPr>
        <w:t xml:space="preserve">vienas zinātniskās </w:t>
      </w:r>
      <w:r w:rsidR="00C10FFE" w:rsidRPr="006913F3">
        <w:rPr>
          <w:rFonts w:ascii="Times New Roman" w:hAnsi="Times New Roman" w:cs="Times New Roman"/>
          <w:sz w:val="24"/>
          <w:szCs w:val="24"/>
        </w:rPr>
        <w:t>institūcij</w:t>
      </w:r>
      <w:r w:rsidR="00124A1A">
        <w:rPr>
          <w:rFonts w:ascii="Times New Roman" w:hAnsi="Times New Roman" w:cs="Times New Roman"/>
          <w:sz w:val="24"/>
          <w:szCs w:val="24"/>
        </w:rPr>
        <w:t>as</w:t>
      </w:r>
      <w:r w:rsidR="00C10FFE" w:rsidRPr="006913F3">
        <w:rPr>
          <w:rFonts w:ascii="Times New Roman" w:hAnsi="Times New Roman" w:cs="Times New Roman"/>
          <w:sz w:val="24"/>
          <w:szCs w:val="24"/>
        </w:rPr>
        <w:t xml:space="preserve"> ietvaros var ievērojami atšķirties pēc izmēra un kapacitātes. Nebūtu </w:t>
      </w:r>
      <w:r w:rsidR="00A469A6">
        <w:rPr>
          <w:rFonts w:ascii="Times New Roman" w:hAnsi="Times New Roman" w:cs="Times New Roman"/>
          <w:sz w:val="24"/>
          <w:szCs w:val="24"/>
        </w:rPr>
        <w:t>adekvāti</w:t>
      </w:r>
      <w:r w:rsidR="00C10FFE" w:rsidRPr="006913F3">
        <w:rPr>
          <w:rFonts w:ascii="Times New Roman" w:hAnsi="Times New Roman" w:cs="Times New Roman"/>
          <w:sz w:val="24"/>
          <w:szCs w:val="24"/>
        </w:rPr>
        <w:t xml:space="preserve"> vidējās vērtības noteikšanā nokļūt situācijā, kur mazas vērtējamās vienības rezultāts neproporcionāli ietekmē kopējo </w:t>
      </w:r>
      <w:r w:rsidR="00124A1A">
        <w:rPr>
          <w:rFonts w:ascii="Times New Roman" w:hAnsi="Times New Roman" w:cs="Times New Roman"/>
          <w:sz w:val="24"/>
          <w:szCs w:val="24"/>
        </w:rPr>
        <w:t xml:space="preserve">valsts </w:t>
      </w:r>
      <w:r w:rsidR="00C10FFE" w:rsidRPr="006913F3">
        <w:rPr>
          <w:rFonts w:ascii="Times New Roman" w:hAnsi="Times New Roman" w:cs="Times New Roman"/>
          <w:sz w:val="24"/>
          <w:szCs w:val="24"/>
        </w:rPr>
        <w:t>augstskolas vidējo vērtējumu.</w:t>
      </w:r>
    </w:p>
    <w:p w14:paraId="3467ACF2" w14:textId="3CC14252" w:rsidR="00C10FFE" w:rsidRPr="006913F3" w:rsidRDefault="00C10FFE" w:rsidP="007B033E">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Tādējādi, ministrijas ieskatā vidējais vērtējums ir nosakāms atsevišķu</w:t>
      </w:r>
      <w:r w:rsidR="00124A1A">
        <w:rPr>
          <w:rFonts w:ascii="Times New Roman" w:hAnsi="Times New Roman" w:cs="Times New Roman"/>
          <w:sz w:val="24"/>
          <w:szCs w:val="24"/>
        </w:rPr>
        <w:t xml:space="preserve"> valsts</w:t>
      </w:r>
      <w:r w:rsidRPr="006913F3">
        <w:rPr>
          <w:rFonts w:ascii="Times New Roman" w:hAnsi="Times New Roman" w:cs="Times New Roman"/>
          <w:sz w:val="24"/>
          <w:szCs w:val="24"/>
        </w:rPr>
        <w:t xml:space="preserve"> augstskolu vērtējamās vienības</w:t>
      </w:r>
      <w:r w:rsidR="00AB3FBC">
        <w:rPr>
          <w:rFonts w:ascii="Times New Roman" w:hAnsi="Times New Roman" w:cs="Times New Roman"/>
          <w:sz w:val="24"/>
          <w:szCs w:val="24"/>
        </w:rPr>
        <w:t>,</w:t>
      </w:r>
      <w:r w:rsidRPr="006913F3">
        <w:rPr>
          <w:rFonts w:ascii="Times New Roman" w:hAnsi="Times New Roman" w:cs="Times New Roman"/>
          <w:sz w:val="24"/>
          <w:szCs w:val="24"/>
        </w:rPr>
        <w:t xml:space="preserve"> sverot pēc to zinātnisko darbinieku skaita (PLE izteiksmē) un apaļojot līdz tuvākajam veselam skaitlim</w:t>
      </w:r>
      <w:r w:rsidR="00F048F0">
        <w:rPr>
          <w:rFonts w:ascii="Times New Roman" w:hAnsi="Times New Roman" w:cs="Times New Roman"/>
          <w:sz w:val="24"/>
          <w:szCs w:val="24"/>
        </w:rPr>
        <w:t xml:space="preserve"> (</w:t>
      </w:r>
      <w:r w:rsidR="00F048F0" w:rsidRPr="00F048F0">
        <w:rPr>
          <w:rFonts w:ascii="Times New Roman" w:hAnsi="Times New Roman" w:cs="Times New Roman"/>
          <w:i/>
          <w:sz w:val="24"/>
          <w:szCs w:val="24"/>
        </w:rPr>
        <w:t>vidējais svērtais vērtējums</w:t>
      </w:r>
      <w:r w:rsidR="00F048F0">
        <w:rPr>
          <w:rFonts w:ascii="Times New Roman" w:hAnsi="Times New Roman" w:cs="Times New Roman"/>
          <w:sz w:val="24"/>
          <w:szCs w:val="24"/>
        </w:rPr>
        <w:t>)</w:t>
      </w:r>
      <w:r w:rsidRPr="006913F3">
        <w:rPr>
          <w:rFonts w:ascii="Times New Roman" w:hAnsi="Times New Roman" w:cs="Times New Roman"/>
          <w:sz w:val="24"/>
          <w:szCs w:val="24"/>
        </w:rPr>
        <w:t>.</w:t>
      </w:r>
      <w:r w:rsidR="00DC243F" w:rsidRPr="006913F3">
        <w:rPr>
          <w:rFonts w:ascii="Times New Roman" w:hAnsi="Times New Roman" w:cs="Times New Roman"/>
          <w:sz w:val="24"/>
          <w:szCs w:val="24"/>
        </w:rPr>
        <w:t xml:space="preserve"> </w:t>
      </w:r>
      <w:r w:rsidR="007B033E">
        <w:rPr>
          <w:rFonts w:ascii="Times New Roman" w:hAnsi="Times New Roman" w:cs="Times New Roman"/>
          <w:sz w:val="24"/>
          <w:szCs w:val="24"/>
        </w:rPr>
        <w:t>Augstskolu a</w:t>
      </w:r>
      <w:r w:rsidR="00DC243F" w:rsidRPr="006913F3">
        <w:rPr>
          <w:rFonts w:ascii="Times New Roman" w:hAnsi="Times New Roman" w:cs="Times New Roman"/>
          <w:sz w:val="24"/>
          <w:szCs w:val="24"/>
        </w:rPr>
        <w:t>kadēmiskais personāls</w:t>
      </w:r>
      <w:r w:rsidR="007B033E">
        <w:rPr>
          <w:rFonts w:ascii="Times New Roman" w:hAnsi="Times New Roman" w:cs="Times New Roman"/>
          <w:sz w:val="24"/>
          <w:szCs w:val="24"/>
        </w:rPr>
        <w:t xml:space="preserve"> </w:t>
      </w:r>
      <w:r w:rsidR="007B033E">
        <w:rPr>
          <w:rFonts w:ascii="Times New Roman" w:hAnsi="Times New Roman" w:cs="Times New Roman"/>
          <w:sz w:val="24"/>
          <w:szCs w:val="24"/>
        </w:rPr>
        <w:lastRenderedPageBreak/>
        <w:t>(asistenti, lektori, docenti, asociētie profesori un profesori)</w:t>
      </w:r>
      <w:r w:rsidR="00DC243F" w:rsidRPr="006913F3">
        <w:rPr>
          <w:rFonts w:ascii="Times New Roman" w:hAnsi="Times New Roman" w:cs="Times New Roman"/>
          <w:sz w:val="24"/>
          <w:szCs w:val="24"/>
        </w:rPr>
        <w:t xml:space="preserve"> starp svara kritēriju nav iekļauts tādēļ, ka ir citi PLE noteikšanas principi , kā arī ir mazāk vienoti principi šo datu uzskaitei starp </w:t>
      </w:r>
      <w:r w:rsidR="00A340EF">
        <w:rPr>
          <w:rFonts w:ascii="Times New Roman" w:hAnsi="Times New Roman" w:cs="Times New Roman"/>
          <w:sz w:val="24"/>
          <w:szCs w:val="24"/>
        </w:rPr>
        <w:t xml:space="preserve">valsts </w:t>
      </w:r>
      <w:r w:rsidR="00DC243F" w:rsidRPr="006913F3">
        <w:rPr>
          <w:rFonts w:ascii="Times New Roman" w:hAnsi="Times New Roman" w:cs="Times New Roman"/>
          <w:sz w:val="24"/>
          <w:szCs w:val="24"/>
        </w:rPr>
        <w:t>augstskolām (jo, piemēram, zinātnisko darbinieku datus kopš 2014.gada</w:t>
      </w:r>
      <w:r w:rsidR="002434B7" w:rsidRPr="006913F3">
        <w:rPr>
          <w:rFonts w:ascii="Times New Roman" w:hAnsi="Times New Roman" w:cs="Times New Roman"/>
          <w:sz w:val="24"/>
          <w:szCs w:val="24"/>
        </w:rPr>
        <w:t xml:space="preserve"> ministrijas piesaistīti zvērināti revidenti</w:t>
      </w:r>
      <w:r w:rsidR="00DC243F" w:rsidRPr="006913F3">
        <w:rPr>
          <w:rFonts w:ascii="Times New Roman" w:hAnsi="Times New Roman" w:cs="Times New Roman"/>
          <w:sz w:val="24"/>
          <w:szCs w:val="24"/>
        </w:rPr>
        <w:t xml:space="preserve"> audita rezultātā pārbauda, tādējādi nodrošinot tiem stingrāku kvalitātes kontro</w:t>
      </w:r>
      <w:r w:rsidR="002434B7" w:rsidRPr="006913F3">
        <w:rPr>
          <w:rFonts w:ascii="Times New Roman" w:hAnsi="Times New Roman" w:cs="Times New Roman"/>
          <w:sz w:val="24"/>
          <w:szCs w:val="24"/>
        </w:rPr>
        <w:t>li).</w:t>
      </w:r>
    </w:p>
    <w:p w14:paraId="5D785D28" w14:textId="614A4833" w:rsidR="00C10FFE" w:rsidRPr="006913F3" w:rsidRDefault="00C10FFE" w:rsidP="007B033E">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Papildus ir jāņem vērā, ka veids, kādā tiek noteikts </w:t>
      </w:r>
      <w:r w:rsidR="00A340EF">
        <w:rPr>
          <w:rFonts w:ascii="Times New Roman" w:hAnsi="Times New Roman" w:cs="Times New Roman"/>
          <w:sz w:val="24"/>
          <w:szCs w:val="24"/>
        </w:rPr>
        <w:t xml:space="preserve">zinātniskās </w:t>
      </w:r>
      <w:r w:rsidRPr="006913F3">
        <w:rPr>
          <w:rFonts w:ascii="Times New Roman" w:hAnsi="Times New Roman" w:cs="Times New Roman"/>
          <w:sz w:val="24"/>
          <w:szCs w:val="24"/>
        </w:rPr>
        <w:t>institūcijas vidējais vērtējums</w:t>
      </w:r>
      <w:r w:rsidR="00A469A6">
        <w:rPr>
          <w:rFonts w:ascii="Times New Roman" w:hAnsi="Times New Roman" w:cs="Times New Roman"/>
          <w:sz w:val="24"/>
          <w:szCs w:val="24"/>
        </w:rPr>
        <w:t>,</w:t>
      </w:r>
      <w:r w:rsidRPr="006913F3">
        <w:rPr>
          <w:rFonts w:ascii="Times New Roman" w:hAnsi="Times New Roman" w:cs="Times New Roman"/>
          <w:sz w:val="24"/>
          <w:szCs w:val="24"/>
        </w:rPr>
        <w:t xml:space="preserve"> ir ar nelielu ietekmi uz rezultātu atkarībā no dažādiem veidiem</w:t>
      </w:r>
      <w:r w:rsidR="00A469A6">
        <w:rPr>
          <w:rFonts w:ascii="Times New Roman" w:hAnsi="Times New Roman" w:cs="Times New Roman"/>
          <w:sz w:val="24"/>
          <w:szCs w:val="24"/>
        </w:rPr>
        <w:t>,</w:t>
      </w:r>
      <w:r w:rsidRPr="006913F3">
        <w:rPr>
          <w:rFonts w:ascii="Times New Roman" w:hAnsi="Times New Roman" w:cs="Times New Roman"/>
          <w:sz w:val="24"/>
          <w:szCs w:val="24"/>
        </w:rPr>
        <w:t xml:space="preserve"> kā to potenciāli var aprēķināt (skatīt </w:t>
      </w:r>
      <w:r w:rsidR="007B033E">
        <w:rPr>
          <w:rFonts w:ascii="Times New Roman" w:hAnsi="Times New Roman" w:cs="Times New Roman"/>
          <w:sz w:val="24"/>
          <w:szCs w:val="24"/>
        </w:rPr>
        <w:t>2.</w:t>
      </w:r>
      <w:r w:rsidRPr="006913F3">
        <w:rPr>
          <w:rFonts w:ascii="Times New Roman" w:hAnsi="Times New Roman" w:cs="Times New Roman"/>
          <w:sz w:val="24"/>
          <w:szCs w:val="24"/>
        </w:rPr>
        <w:t>tabulu).</w:t>
      </w:r>
    </w:p>
    <w:p w14:paraId="680CA0F2" w14:textId="12F0D1A2" w:rsidR="00A46C3C" w:rsidRPr="007B033E" w:rsidRDefault="00C50B88" w:rsidP="007B033E">
      <w:pPr>
        <w:spacing w:after="0" w:line="240" w:lineRule="auto"/>
        <w:ind w:firstLine="720"/>
        <w:jc w:val="both"/>
        <w:rPr>
          <w:rFonts w:ascii="Times New Roman" w:hAnsi="Times New Roman" w:cs="Times New Roman"/>
          <w:i/>
          <w:strike/>
          <w:sz w:val="24"/>
          <w:szCs w:val="24"/>
        </w:rPr>
      </w:pPr>
      <w:r w:rsidRPr="007B033E">
        <w:rPr>
          <w:rFonts w:ascii="Times New Roman" w:hAnsi="Times New Roman" w:cs="Times New Roman"/>
          <w:sz w:val="24"/>
          <w:szCs w:val="24"/>
        </w:rPr>
        <w:t xml:space="preserve">Arī attiecībā par </w:t>
      </w:r>
      <w:r w:rsidR="00A340EF">
        <w:rPr>
          <w:rFonts w:ascii="Times New Roman" w:hAnsi="Times New Roman" w:cs="Times New Roman"/>
          <w:sz w:val="24"/>
          <w:szCs w:val="24"/>
        </w:rPr>
        <w:t xml:space="preserve">valsts </w:t>
      </w:r>
      <w:r w:rsidR="00A469A6" w:rsidRPr="007B033E">
        <w:rPr>
          <w:rFonts w:ascii="Times New Roman" w:hAnsi="Times New Roman" w:cs="Times New Roman"/>
          <w:sz w:val="24"/>
          <w:szCs w:val="24"/>
        </w:rPr>
        <w:t>augstskolām</w:t>
      </w:r>
      <w:r w:rsidR="00B251D4" w:rsidRPr="007B033E">
        <w:rPr>
          <w:rFonts w:ascii="Times New Roman" w:hAnsi="Times New Roman" w:cs="Times New Roman"/>
          <w:sz w:val="24"/>
          <w:szCs w:val="24"/>
        </w:rPr>
        <w:t xml:space="preserve"> ir piedāvājums noteikt</w:t>
      </w:r>
      <w:r w:rsidRPr="007B033E">
        <w:rPr>
          <w:rFonts w:ascii="Times New Roman" w:hAnsi="Times New Roman" w:cs="Times New Roman"/>
          <w:sz w:val="24"/>
          <w:szCs w:val="24"/>
        </w:rPr>
        <w:t xml:space="preserve"> izņēmumu attiecībā par dalību Eiropas Savienības budžeta programmas Eiropas Atveseļošanas un noturības mehānisma</w:t>
      </w:r>
      <w:r w:rsidRPr="006913F3">
        <w:rPr>
          <w:rFonts w:ascii="Times New Roman" w:hAnsi="Times New Roman" w:cs="Times New Roman"/>
          <w:i/>
          <w:sz w:val="24"/>
          <w:szCs w:val="24"/>
        </w:rPr>
        <w:t xml:space="preserve"> </w:t>
      </w:r>
      <w:r w:rsidRPr="007B033E">
        <w:rPr>
          <w:rFonts w:ascii="Times New Roman" w:hAnsi="Times New Roman" w:cs="Times New Roman"/>
          <w:sz w:val="24"/>
          <w:szCs w:val="24"/>
        </w:rPr>
        <w:t>īstenošanai</w:t>
      </w:r>
      <w:r w:rsidR="007B033E" w:rsidRPr="007B033E">
        <w:rPr>
          <w:rFonts w:ascii="Times New Roman" w:hAnsi="Times New Roman" w:cs="Times New Roman"/>
          <w:sz w:val="24"/>
          <w:szCs w:val="24"/>
        </w:rPr>
        <w:t xml:space="preserve"> </w:t>
      </w:r>
      <w:r w:rsidR="007B033E">
        <w:rPr>
          <w:rFonts w:ascii="Times New Roman" w:hAnsi="Times New Roman" w:cs="Times New Roman"/>
          <w:sz w:val="24"/>
          <w:szCs w:val="24"/>
        </w:rPr>
        <w:t>augstskolu pārvaldības reformas ietvaros.</w:t>
      </w:r>
    </w:p>
    <w:p w14:paraId="1E451266" w14:textId="6128B7B3" w:rsidR="0030101D" w:rsidRPr="006913F3" w:rsidRDefault="0030101D" w:rsidP="006507AA">
      <w:pPr>
        <w:jc w:val="both"/>
        <w:rPr>
          <w:rFonts w:ascii="Times New Roman" w:hAnsi="Times New Roman" w:cs="Times New Roman"/>
          <w:color w:val="FF0000"/>
          <w:sz w:val="24"/>
          <w:szCs w:val="24"/>
        </w:rPr>
      </w:pPr>
    </w:p>
    <w:p w14:paraId="22B2202C" w14:textId="3BA6F976" w:rsidR="00561ED3" w:rsidRDefault="00CF38AA" w:rsidP="007B033E">
      <w:pPr>
        <w:spacing w:after="0" w:line="240" w:lineRule="auto"/>
        <w:jc w:val="both"/>
        <w:rPr>
          <w:rFonts w:ascii="Times New Roman" w:hAnsi="Times New Roman" w:cs="Times New Roman"/>
          <w:sz w:val="24"/>
          <w:szCs w:val="24"/>
        </w:rPr>
      </w:pPr>
      <w:r w:rsidRPr="006913F3">
        <w:rPr>
          <w:rFonts w:ascii="Times New Roman" w:hAnsi="Times New Roman" w:cs="Times New Roman"/>
          <w:b/>
          <w:sz w:val="24"/>
          <w:szCs w:val="24"/>
        </w:rPr>
        <w:t>2.</w:t>
      </w:r>
      <w:r>
        <w:rPr>
          <w:rFonts w:ascii="Times New Roman" w:hAnsi="Times New Roman" w:cs="Times New Roman"/>
          <w:b/>
          <w:sz w:val="24"/>
          <w:szCs w:val="24"/>
        </w:rPr>
        <w:t xml:space="preserve"> </w:t>
      </w:r>
      <w:r w:rsidRPr="006913F3">
        <w:rPr>
          <w:rFonts w:ascii="Times New Roman" w:hAnsi="Times New Roman" w:cs="Times New Roman"/>
          <w:b/>
          <w:sz w:val="24"/>
          <w:szCs w:val="24"/>
        </w:rPr>
        <w:t>tabula.</w:t>
      </w:r>
      <w:r w:rsidRPr="006913F3">
        <w:rPr>
          <w:rFonts w:ascii="Times New Roman" w:hAnsi="Times New Roman" w:cs="Times New Roman"/>
          <w:sz w:val="24"/>
          <w:szCs w:val="24"/>
        </w:rPr>
        <w:t xml:space="preserve"> Atšķirības starp </w:t>
      </w:r>
      <w:r w:rsidR="00A340EF">
        <w:rPr>
          <w:rFonts w:ascii="Times New Roman" w:hAnsi="Times New Roman" w:cs="Times New Roman"/>
          <w:sz w:val="24"/>
          <w:szCs w:val="24"/>
        </w:rPr>
        <w:t>2019.gada</w:t>
      </w:r>
      <w:r w:rsidRPr="006913F3">
        <w:rPr>
          <w:rFonts w:ascii="Times New Roman" w:hAnsi="Times New Roman" w:cs="Times New Roman"/>
          <w:sz w:val="24"/>
          <w:szCs w:val="24"/>
        </w:rPr>
        <w:t xml:space="preserve"> </w:t>
      </w:r>
      <w:r>
        <w:rPr>
          <w:rFonts w:ascii="Times New Roman" w:hAnsi="Times New Roman" w:cs="Times New Roman"/>
          <w:sz w:val="24"/>
          <w:szCs w:val="24"/>
        </w:rPr>
        <w:t>novērtējuma</w:t>
      </w:r>
      <w:r w:rsidRPr="006913F3">
        <w:rPr>
          <w:rFonts w:ascii="Times New Roman" w:hAnsi="Times New Roman" w:cs="Times New Roman"/>
          <w:sz w:val="24"/>
          <w:szCs w:val="24"/>
        </w:rPr>
        <w:t xml:space="preserve"> vidējā rezultāta noteikšanas veidiem valsts augstskolās ar vairākām vērtējamajām vienībā</w:t>
      </w:r>
      <w:r>
        <w:rPr>
          <w:rFonts w:ascii="Times New Roman" w:hAnsi="Times New Roman" w:cs="Times New Roman"/>
          <w:sz w:val="24"/>
          <w:szCs w:val="24"/>
        </w:rPr>
        <w:t>m (IZM, IZM aprēķini)</w:t>
      </w:r>
    </w:p>
    <w:p w14:paraId="7D39705A" w14:textId="77777777" w:rsidR="00F756A8" w:rsidRPr="006913F3" w:rsidRDefault="00F756A8" w:rsidP="007B033E">
      <w:pPr>
        <w:spacing w:after="0" w:line="240" w:lineRule="auto"/>
        <w:jc w:val="both"/>
        <w:rPr>
          <w:rFonts w:ascii="Times New Roman" w:hAnsi="Times New Roman" w:cs="Times New Roman"/>
          <w:sz w:val="24"/>
          <w:szCs w:val="24"/>
        </w:rPr>
      </w:pPr>
    </w:p>
    <w:tbl>
      <w:tblPr>
        <w:tblW w:w="9722" w:type="dxa"/>
        <w:tblInd w:w="4" w:type="dxa"/>
        <w:tblCellMar>
          <w:left w:w="0" w:type="dxa"/>
          <w:right w:w="0" w:type="dxa"/>
        </w:tblCellMar>
        <w:tblLook w:val="04A0" w:firstRow="1" w:lastRow="0" w:firstColumn="1" w:lastColumn="0" w:noHBand="0" w:noVBand="1"/>
      </w:tblPr>
      <w:tblGrid>
        <w:gridCol w:w="1761"/>
        <w:gridCol w:w="1026"/>
        <w:gridCol w:w="1242"/>
        <w:gridCol w:w="1364"/>
        <w:gridCol w:w="1321"/>
        <w:gridCol w:w="16"/>
        <w:gridCol w:w="1005"/>
        <w:gridCol w:w="16"/>
        <w:gridCol w:w="1088"/>
        <w:gridCol w:w="883"/>
      </w:tblGrid>
      <w:tr w:rsidR="00F756A8" w:rsidRPr="00F756A8" w14:paraId="19AE13C6" w14:textId="77777777" w:rsidTr="00F756A8">
        <w:trPr>
          <w:trHeight w:val="1158"/>
        </w:trPr>
        <w:tc>
          <w:tcPr>
            <w:tcW w:w="1758" w:type="dxa"/>
            <w:tcBorders>
              <w:top w:val="single" w:sz="8" w:space="0" w:color="auto"/>
              <w:left w:val="single" w:sz="8" w:space="0" w:color="auto"/>
              <w:bottom w:val="single" w:sz="8" w:space="0" w:color="auto"/>
              <w:right w:val="nil"/>
            </w:tcBorders>
            <w:shd w:val="clear" w:color="auto" w:fill="366092"/>
            <w:noWrap/>
            <w:tcMar>
              <w:top w:w="0" w:type="dxa"/>
              <w:left w:w="108" w:type="dxa"/>
              <w:bottom w:w="0" w:type="dxa"/>
              <w:right w:w="108" w:type="dxa"/>
            </w:tcMar>
            <w:vAlign w:val="center"/>
            <w:hideMark/>
          </w:tcPr>
          <w:p w14:paraId="412ED7FD" w14:textId="0FBCF3E5"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Augstskola</w:t>
            </w:r>
          </w:p>
        </w:tc>
        <w:tc>
          <w:tcPr>
            <w:tcW w:w="1027"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vAlign w:val="center"/>
            <w:hideMark/>
          </w:tcPr>
          <w:p w14:paraId="3D20DF20" w14:textId="77777777"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Vidējais vērtējums no gala vērtējuma</w:t>
            </w:r>
          </w:p>
        </w:tc>
        <w:tc>
          <w:tcPr>
            <w:tcW w:w="1243"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311C9CC7" w14:textId="77777777"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Vidējais aritmētiskais kritēriju vērtējums</w:t>
            </w:r>
          </w:p>
        </w:tc>
        <w:tc>
          <w:tcPr>
            <w:tcW w:w="136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31B74314" w14:textId="77777777"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Vidējais vērtējums no gala vērtējuma (svērts pēc institūciju izmēra (PLE)</w:t>
            </w:r>
          </w:p>
        </w:tc>
        <w:tc>
          <w:tcPr>
            <w:tcW w:w="1322"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5E95265D" w14:textId="77777777"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Dominējošais vērtējums (mediānā vērtība)</w:t>
            </w:r>
          </w:p>
        </w:tc>
        <w:tc>
          <w:tcPr>
            <w:tcW w:w="16" w:type="dxa"/>
            <w:tcBorders>
              <w:top w:val="single" w:sz="8" w:space="0" w:color="auto"/>
              <w:left w:val="nil"/>
              <w:bottom w:val="single" w:sz="8" w:space="0" w:color="auto"/>
              <w:right w:val="nil"/>
            </w:tcBorders>
            <w:shd w:val="clear" w:color="auto" w:fill="366092"/>
          </w:tcPr>
          <w:p w14:paraId="7818FBC7" w14:textId="77777777" w:rsidR="00F756A8" w:rsidRPr="00F756A8" w:rsidRDefault="00F756A8">
            <w:pPr>
              <w:jc w:val="center"/>
              <w:rPr>
                <w:rFonts w:ascii="Times New Roman" w:hAnsi="Times New Roman" w:cs="Times New Roman"/>
                <w:color w:val="FFFFFF"/>
                <w:sz w:val="20"/>
                <w:szCs w:val="24"/>
              </w:rPr>
            </w:pPr>
          </w:p>
        </w:tc>
        <w:tc>
          <w:tcPr>
            <w:tcW w:w="1004"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1AED9E4C" w14:textId="140DFFBF"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Max vērtējums</w:t>
            </w:r>
          </w:p>
        </w:tc>
        <w:tc>
          <w:tcPr>
            <w:tcW w:w="16" w:type="dxa"/>
            <w:tcBorders>
              <w:top w:val="single" w:sz="8" w:space="0" w:color="auto"/>
              <w:left w:val="nil"/>
              <w:bottom w:val="single" w:sz="8" w:space="0" w:color="auto"/>
              <w:right w:val="nil"/>
            </w:tcBorders>
            <w:shd w:val="clear" w:color="auto" w:fill="366092"/>
          </w:tcPr>
          <w:p w14:paraId="53495733" w14:textId="77777777" w:rsidR="00F756A8" w:rsidRPr="00F756A8" w:rsidRDefault="00F756A8">
            <w:pPr>
              <w:jc w:val="center"/>
              <w:rPr>
                <w:rFonts w:ascii="Times New Roman" w:hAnsi="Times New Roman" w:cs="Times New Roman"/>
                <w:color w:val="FFFFFF"/>
                <w:sz w:val="20"/>
                <w:szCs w:val="24"/>
              </w:rPr>
            </w:pPr>
          </w:p>
        </w:tc>
        <w:tc>
          <w:tcPr>
            <w:tcW w:w="1089"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28DE7B4A" w14:textId="4986CBE8"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Min vērtējums</w:t>
            </w:r>
          </w:p>
        </w:tc>
        <w:tc>
          <w:tcPr>
            <w:tcW w:w="882"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7A2C89C4" w14:textId="77777777" w:rsidR="00F756A8" w:rsidRPr="00F756A8" w:rsidRDefault="00F756A8">
            <w:pPr>
              <w:jc w:val="center"/>
              <w:rPr>
                <w:rFonts w:ascii="Times New Roman" w:hAnsi="Times New Roman" w:cs="Times New Roman"/>
                <w:color w:val="FFFFFF"/>
                <w:sz w:val="20"/>
                <w:szCs w:val="24"/>
              </w:rPr>
            </w:pPr>
            <w:r w:rsidRPr="00F756A8">
              <w:rPr>
                <w:rFonts w:ascii="Times New Roman" w:hAnsi="Times New Roman" w:cs="Times New Roman"/>
                <w:color w:val="FFFFFF"/>
                <w:sz w:val="20"/>
                <w:szCs w:val="24"/>
              </w:rPr>
              <w:t>Starpība (Max - Min)</w:t>
            </w:r>
          </w:p>
        </w:tc>
      </w:tr>
      <w:tr w:rsidR="00F756A8" w:rsidRPr="00F756A8" w14:paraId="159040E3"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639583D" w14:textId="65FBD247"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Rīgas Stradiņa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FAF6AD" w14:textId="08BECC48"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60E82" w14:textId="1AAF9B8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3,4</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F76BE3" w14:textId="5DED8A4A"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3,8</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F2DB6C" w14:textId="7CDF1E5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578F6DD4"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D8B719" w14:textId="169BA0D6"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3,8</w:t>
            </w:r>
          </w:p>
        </w:tc>
        <w:tc>
          <w:tcPr>
            <w:tcW w:w="16" w:type="dxa"/>
            <w:tcBorders>
              <w:top w:val="nil"/>
              <w:left w:val="nil"/>
              <w:bottom w:val="single" w:sz="8" w:space="0" w:color="auto"/>
              <w:right w:val="nil"/>
            </w:tcBorders>
          </w:tcPr>
          <w:p w14:paraId="7194DFD9"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4ED1B" w14:textId="3FA32A27"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91966" w14:textId="26DB9084"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0,8</w:t>
            </w:r>
          </w:p>
        </w:tc>
      </w:tr>
      <w:tr w:rsidR="00F756A8" w:rsidRPr="00F756A8" w14:paraId="7558709D"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A160E58" w14:textId="5043D6D1"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Rīgas Tehniskā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31238F" w14:textId="5594F8F9"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2DD368" w14:textId="4F205B9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3,1</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1407EF" w14:textId="2767C39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3,5</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13CC8" w14:textId="52C68597"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13ACB30A"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5A025" w14:textId="24FFCB9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3,5</w:t>
            </w:r>
          </w:p>
        </w:tc>
        <w:tc>
          <w:tcPr>
            <w:tcW w:w="16" w:type="dxa"/>
            <w:tcBorders>
              <w:top w:val="nil"/>
              <w:left w:val="nil"/>
              <w:bottom w:val="single" w:sz="8" w:space="0" w:color="auto"/>
              <w:right w:val="nil"/>
            </w:tcBorders>
          </w:tcPr>
          <w:p w14:paraId="336E57EF"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D7CF6" w14:textId="775C852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FDB2F" w14:textId="41957BBE"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0,5</w:t>
            </w:r>
          </w:p>
        </w:tc>
      </w:tr>
      <w:tr w:rsidR="00F756A8" w:rsidRPr="00F756A8" w14:paraId="700812DC"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CE52F5E" w14:textId="1EB8F5E0"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Latvijas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571E8F" w14:textId="38BD61A6"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C45FE" w14:textId="5457FDE3"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3,3</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55E649" w14:textId="4EB3CC79"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03D29" w14:textId="62B8241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0B2C0E9B"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7220B" w14:textId="4D4D299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3,3</w:t>
            </w:r>
          </w:p>
        </w:tc>
        <w:tc>
          <w:tcPr>
            <w:tcW w:w="16" w:type="dxa"/>
            <w:tcBorders>
              <w:top w:val="nil"/>
              <w:left w:val="nil"/>
              <w:bottom w:val="single" w:sz="8" w:space="0" w:color="auto"/>
              <w:right w:val="nil"/>
            </w:tcBorders>
          </w:tcPr>
          <w:p w14:paraId="71A34DD4"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11B2CC" w14:textId="2B30290B"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51BCB" w14:textId="606473D6"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0,3</w:t>
            </w:r>
          </w:p>
        </w:tc>
      </w:tr>
      <w:tr w:rsidR="00F756A8" w:rsidRPr="00F756A8" w14:paraId="62DE4DFB"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0C87325" w14:textId="08BCC8C4"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Daugsvpils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F5F13D" w14:textId="4D6EA98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2,8</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47DBE" w14:textId="296A3480"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2,8</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C89311" w14:textId="6A6CDC87"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BEB561" w14:textId="6D551290"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0A2AC981"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40FCEC" w14:textId="73B61140"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5BC9BA8A"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3F883" w14:textId="20EDBF1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184BE" w14:textId="3E2C7FA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0,3</w:t>
            </w:r>
          </w:p>
        </w:tc>
      </w:tr>
      <w:tr w:rsidR="00F756A8" w:rsidRPr="00F756A8" w14:paraId="238A07C1"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56271AD" w14:textId="4C2B33F1" w:rsidR="00F756A8" w:rsidRPr="00F756A8" w:rsidRDefault="00F756A8" w:rsidP="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Latvijas Lauksaimniecības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AFA502" w14:textId="30747673"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5A092D" w14:textId="7EF0E1B4"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2,9</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F002E" w14:textId="7A0FC4FA"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56AFB7" w14:textId="4A049E2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42BDF3B0"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FD281" w14:textId="2E336D2C"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3,0</w:t>
            </w:r>
          </w:p>
        </w:tc>
        <w:tc>
          <w:tcPr>
            <w:tcW w:w="16" w:type="dxa"/>
            <w:tcBorders>
              <w:top w:val="nil"/>
              <w:left w:val="nil"/>
              <w:bottom w:val="single" w:sz="8" w:space="0" w:color="auto"/>
              <w:right w:val="nil"/>
            </w:tcBorders>
          </w:tcPr>
          <w:p w14:paraId="356FDF05"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B5C3B" w14:textId="65061566"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EE1436" w14:textId="62D3C9BB"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0,3</w:t>
            </w:r>
          </w:p>
        </w:tc>
      </w:tr>
      <w:tr w:rsidR="00F756A8" w:rsidRPr="00F756A8" w14:paraId="3F0CA2D8"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1582A12" w14:textId="71EEF554"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Ventspils Augstskola</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52956F" w14:textId="77469504"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B9333" w14:textId="69CFC43E"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8AE2A1" w14:textId="62A88039"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2,5</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252D8A" w14:textId="754BF4A7"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16" w:type="dxa"/>
            <w:tcBorders>
              <w:top w:val="nil"/>
              <w:left w:val="nil"/>
              <w:bottom w:val="single" w:sz="8" w:space="0" w:color="auto"/>
              <w:right w:val="nil"/>
            </w:tcBorders>
          </w:tcPr>
          <w:p w14:paraId="3AF26966"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50F0A2" w14:textId="7DF5A4B9"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2,7</w:t>
            </w:r>
          </w:p>
        </w:tc>
        <w:tc>
          <w:tcPr>
            <w:tcW w:w="16" w:type="dxa"/>
            <w:tcBorders>
              <w:top w:val="nil"/>
              <w:left w:val="nil"/>
              <w:bottom w:val="single" w:sz="8" w:space="0" w:color="auto"/>
              <w:right w:val="nil"/>
            </w:tcBorders>
          </w:tcPr>
          <w:p w14:paraId="5EA22918"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C471A" w14:textId="1FCB8B0D"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07886" w14:textId="1FB44DE1"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0,7</w:t>
            </w:r>
          </w:p>
        </w:tc>
      </w:tr>
      <w:tr w:rsidR="00F756A8" w:rsidRPr="00F756A8" w14:paraId="221DE753" w14:textId="77777777" w:rsidTr="00F756A8">
        <w:trPr>
          <w:trHeight w:val="285"/>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2CFFD1A" w14:textId="53124597"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Rēzeknes Tehnoloģiju akadēmija</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2DB6F8" w14:textId="7F04A2B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D130D8" w14:textId="6FE275A1"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2,4</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4BA5C2" w14:textId="5DC7A223"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2,4</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2F4C6" w14:textId="4EA4144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16" w:type="dxa"/>
            <w:tcBorders>
              <w:top w:val="nil"/>
              <w:left w:val="nil"/>
              <w:bottom w:val="single" w:sz="8" w:space="0" w:color="auto"/>
              <w:right w:val="nil"/>
            </w:tcBorders>
          </w:tcPr>
          <w:p w14:paraId="356D0EF9"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4F59F" w14:textId="07AA8911"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2,4</w:t>
            </w:r>
          </w:p>
        </w:tc>
        <w:tc>
          <w:tcPr>
            <w:tcW w:w="16" w:type="dxa"/>
            <w:tcBorders>
              <w:top w:val="nil"/>
              <w:left w:val="nil"/>
              <w:bottom w:val="single" w:sz="8" w:space="0" w:color="auto"/>
              <w:right w:val="nil"/>
            </w:tcBorders>
          </w:tcPr>
          <w:p w14:paraId="7EF4EB3A"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9640" w14:textId="0E0F607A"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3E5A5" w14:textId="540EE39E"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0,4</w:t>
            </w:r>
          </w:p>
        </w:tc>
      </w:tr>
      <w:tr w:rsidR="00F756A8" w:rsidRPr="00F756A8" w14:paraId="1F11C1C1" w14:textId="77777777" w:rsidTr="00F756A8">
        <w:trPr>
          <w:trHeight w:val="297"/>
        </w:trPr>
        <w:tc>
          <w:tcPr>
            <w:tcW w:w="17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04022B5" w14:textId="5A3F0AAD" w:rsidR="00F756A8" w:rsidRPr="00F756A8" w:rsidRDefault="00F756A8">
            <w:pPr>
              <w:jc w:val="center"/>
              <w:rPr>
                <w:rFonts w:ascii="Times New Roman" w:hAnsi="Times New Roman" w:cs="Times New Roman"/>
                <w:b/>
                <w:bCs/>
                <w:color w:val="000000"/>
                <w:sz w:val="20"/>
                <w:szCs w:val="24"/>
              </w:rPr>
            </w:pPr>
            <w:r w:rsidRPr="00F756A8">
              <w:rPr>
                <w:rFonts w:ascii="Times New Roman" w:hAnsi="Times New Roman" w:cs="Times New Roman"/>
                <w:b/>
                <w:bCs/>
                <w:color w:val="000000"/>
                <w:sz w:val="20"/>
                <w:szCs w:val="24"/>
              </w:rPr>
              <w:t>Liepājas Universitāte</w:t>
            </w:r>
          </w:p>
        </w:tc>
        <w:tc>
          <w:tcPr>
            <w:tcW w:w="10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806580" w14:textId="3F89665D"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2C122" w14:textId="1528DD9F"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7802D4" w14:textId="5BCADC73"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3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1151D0" w14:textId="107810C1"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16" w:type="dxa"/>
            <w:tcBorders>
              <w:top w:val="nil"/>
              <w:left w:val="nil"/>
              <w:bottom w:val="single" w:sz="8" w:space="0" w:color="auto"/>
              <w:right w:val="nil"/>
            </w:tcBorders>
          </w:tcPr>
          <w:p w14:paraId="539262A1" w14:textId="77777777" w:rsidR="00F756A8" w:rsidRPr="00F756A8" w:rsidRDefault="00F756A8">
            <w:pPr>
              <w:jc w:val="center"/>
              <w:rPr>
                <w:rFonts w:ascii="Times New Roman" w:hAnsi="Times New Roman" w:cs="Times New Roman"/>
                <w:color w:val="000000"/>
                <w:sz w:val="20"/>
                <w:szCs w:val="24"/>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C6762" w14:textId="692781F2"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2,3</w:t>
            </w:r>
          </w:p>
        </w:tc>
        <w:tc>
          <w:tcPr>
            <w:tcW w:w="16" w:type="dxa"/>
            <w:tcBorders>
              <w:top w:val="nil"/>
              <w:left w:val="nil"/>
              <w:bottom w:val="single" w:sz="8" w:space="0" w:color="auto"/>
              <w:right w:val="nil"/>
            </w:tcBorders>
          </w:tcPr>
          <w:p w14:paraId="0037F187" w14:textId="77777777" w:rsidR="00F756A8" w:rsidRPr="00F756A8" w:rsidRDefault="00F756A8">
            <w:pPr>
              <w:jc w:val="center"/>
              <w:rPr>
                <w:rFonts w:ascii="Times New Roman" w:hAnsi="Times New Roman" w:cs="Times New Roman"/>
                <w:color w:val="000000"/>
                <w:sz w:val="20"/>
                <w:szCs w:val="24"/>
              </w:rPr>
            </w:pPr>
          </w:p>
        </w:tc>
        <w:tc>
          <w:tcPr>
            <w:tcW w:w="10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71E19" w14:textId="14F1182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2,0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6A9CE5" w14:textId="4139FCA5" w:rsidR="00F756A8" w:rsidRPr="00F756A8" w:rsidRDefault="00F756A8">
            <w:pPr>
              <w:jc w:val="center"/>
              <w:rPr>
                <w:rFonts w:ascii="Times New Roman" w:hAnsi="Times New Roman" w:cs="Times New Roman"/>
                <w:color w:val="000000"/>
                <w:sz w:val="20"/>
                <w:szCs w:val="24"/>
              </w:rPr>
            </w:pPr>
            <w:r w:rsidRPr="00F756A8">
              <w:rPr>
                <w:rFonts w:ascii="Times New Roman" w:hAnsi="Times New Roman" w:cs="Times New Roman"/>
                <w:color w:val="000000"/>
                <w:sz w:val="20"/>
                <w:szCs w:val="24"/>
              </w:rPr>
              <w:t>0,3</w:t>
            </w:r>
          </w:p>
        </w:tc>
      </w:tr>
    </w:tbl>
    <w:p w14:paraId="5940A088" w14:textId="77777777" w:rsidR="0030101D" w:rsidRPr="006913F3" w:rsidRDefault="0030101D" w:rsidP="006507AA">
      <w:pPr>
        <w:jc w:val="both"/>
        <w:rPr>
          <w:rFonts w:ascii="Times New Roman" w:hAnsi="Times New Roman" w:cs="Times New Roman"/>
          <w:color w:val="FF0000"/>
          <w:sz w:val="24"/>
          <w:szCs w:val="24"/>
        </w:rPr>
      </w:pPr>
    </w:p>
    <w:p w14:paraId="7CBD766E" w14:textId="4844891E" w:rsidR="006507AA" w:rsidRPr="006913F3" w:rsidRDefault="00C10FFE" w:rsidP="007B033E">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b/>
          <w:bCs/>
          <w:sz w:val="24"/>
          <w:szCs w:val="24"/>
        </w:rPr>
        <w:t xml:space="preserve">3. </w:t>
      </w:r>
      <w:r w:rsidR="006507AA" w:rsidRPr="006913F3">
        <w:rPr>
          <w:rFonts w:ascii="Times New Roman" w:hAnsi="Times New Roman" w:cs="Times New Roman"/>
          <w:b/>
          <w:bCs/>
          <w:sz w:val="24"/>
          <w:szCs w:val="24"/>
        </w:rPr>
        <w:t xml:space="preserve">Saglabāt principu </w:t>
      </w:r>
      <w:r w:rsidR="006507AA" w:rsidRPr="006913F3">
        <w:rPr>
          <w:rFonts w:ascii="Times New Roman" w:hAnsi="Times New Roman" w:cs="Times New Roman"/>
          <w:sz w:val="24"/>
          <w:szCs w:val="24"/>
        </w:rPr>
        <w:t xml:space="preserve">stimuliem izcilībai 10 % apmērā tām zinātniskajām institūcijām, vai to vērtējamajām vienībām kurām ir 4 vai 5 vērtējums, </w:t>
      </w:r>
      <w:r w:rsidR="006507AA" w:rsidRPr="006913F3">
        <w:rPr>
          <w:rFonts w:ascii="Times New Roman" w:hAnsi="Times New Roman" w:cs="Times New Roman"/>
          <w:b/>
          <w:bCs/>
          <w:sz w:val="24"/>
          <w:szCs w:val="24"/>
        </w:rPr>
        <w:t>definēt</w:t>
      </w:r>
      <w:r w:rsidRPr="006913F3">
        <w:rPr>
          <w:rFonts w:ascii="Times New Roman" w:hAnsi="Times New Roman" w:cs="Times New Roman"/>
          <w:sz w:val="24"/>
          <w:szCs w:val="24"/>
        </w:rPr>
        <w:t xml:space="preserve"> kompleksākus, kur šobrīd</w:t>
      </w:r>
      <w:r w:rsidR="003B6A49">
        <w:rPr>
          <w:rFonts w:ascii="Times New Roman" w:hAnsi="Times New Roman" w:cs="Times New Roman"/>
          <w:sz w:val="24"/>
          <w:szCs w:val="24"/>
        </w:rPr>
        <w:t xml:space="preserve"> MK noteikumu Nr.1316 11.1. apakšpunktā</w:t>
      </w:r>
      <w:r w:rsidRPr="006913F3">
        <w:rPr>
          <w:rFonts w:ascii="Times New Roman" w:hAnsi="Times New Roman" w:cs="Times New Roman"/>
          <w:sz w:val="24"/>
          <w:szCs w:val="24"/>
        </w:rPr>
        <w:t xml:space="preserve"> ir šāda kārtība:</w:t>
      </w:r>
    </w:p>
    <w:p w14:paraId="29D27A37" w14:textId="3661AC29" w:rsidR="0030101D" w:rsidRPr="003B6A49" w:rsidRDefault="003B6A49" w:rsidP="007B033E">
      <w:pPr>
        <w:spacing w:after="0" w:line="240" w:lineRule="auto"/>
        <w:jc w:val="both"/>
        <w:rPr>
          <w:rFonts w:ascii="Times New Roman" w:hAnsi="Times New Roman" w:cs="Times New Roman"/>
          <w:i/>
          <w:sz w:val="24"/>
          <w:szCs w:val="24"/>
          <w:shd w:val="clear" w:color="auto" w:fill="FFFFFF"/>
        </w:rPr>
      </w:pPr>
      <w:r w:rsidRPr="003B6A49">
        <w:rPr>
          <w:rFonts w:ascii="Times New Roman" w:hAnsi="Times New Roman" w:cs="Times New Roman"/>
          <w:i/>
          <w:sz w:val="24"/>
          <w:szCs w:val="24"/>
          <w:shd w:val="clear" w:color="auto" w:fill="FFFFFF"/>
        </w:rPr>
        <w:t>„</w:t>
      </w:r>
      <w:r w:rsidR="0030101D" w:rsidRPr="003B6A49">
        <w:rPr>
          <w:rFonts w:ascii="Times New Roman" w:hAnsi="Times New Roman" w:cs="Times New Roman"/>
          <w:i/>
          <w:sz w:val="24"/>
          <w:szCs w:val="24"/>
          <w:shd w:val="clear" w:color="auto" w:fill="FFFFFF"/>
        </w:rPr>
        <w:t>11.</w:t>
      </w:r>
      <w:r w:rsidR="0030101D" w:rsidRPr="003B6A49">
        <w:rPr>
          <w:rFonts w:ascii="Times New Roman" w:hAnsi="Times New Roman" w:cs="Times New Roman"/>
          <w:i/>
          <w:sz w:val="24"/>
          <w:szCs w:val="24"/>
          <w:shd w:val="clear" w:color="auto" w:fill="FFFFFF"/>
          <w:vertAlign w:val="superscript"/>
        </w:rPr>
        <w:t>1 </w:t>
      </w:r>
      <w:r w:rsidR="0030101D" w:rsidRPr="003B6A49">
        <w:rPr>
          <w:rFonts w:ascii="Times New Roman" w:hAnsi="Times New Roman" w:cs="Times New Roman"/>
          <w:i/>
          <w:sz w:val="24"/>
          <w:szCs w:val="24"/>
          <w:shd w:val="clear" w:color="auto" w:fill="FFFFFF"/>
        </w:rPr>
        <w:t xml:space="preserve">Pamatojoties uz Izglītības un zinātnes ministrijas organizēto zinātnisko institūciju darbības starptautisko izvērtējumu sešiem gadiem un atbilstoši zinātniskās institūcijas sniegtajai šo noteikumu </w:t>
      </w:r>
      <w:r w:rsidR="0030101D" w:rsidRPr="003B6A49">
        <w:rPr>
          <w:rFonts w:ascii="Times New Roman" w:hAnsi="Times New Roman" w:cs="Times New Roman"/>
          <w:i/>
          <w:sz w:val="24"/>
          <w:szCs w:val="24"/>
          <w:shd w:val="clear" w:color="auto" w:fill="FFFFFF"/>
        </w:rPr>
        <w:lastRenderedPageBreak/>
        <w:t>10.1. apakšpunktā minētajai informācijai, Izglītības un zinātnes ministrija aprēķina un piešķir papildu finansējumu (10 procentu apmērā no valsts budžetā kārtējam gadam piešķirtā bāzes finansējuma) tām zinātniskajām institūcijām, kuras minētajā izvērtējumā saņēmušas novērtējumu "4" un "5". Piešķirot minēto papildu finansējumu, atbilstoši zinātniskajā institūcijā nodarbinātajam zinātniskajam personālam (PLE) tiks ņemts vērā zinātnē nodarbināto skaits apakšvienībā, kura zinātnisko institūciju starptautiskajā izvērtē</w:t>
      </w:r>
      <w:r w:rsidRPr="003B6A49">
        <w:rPr>
          <w:rFonts w:ascii="Times New Roman" w:hAnsi="Times New Roman" w:cs="Times New Roman"/>
          <w:i/>
          <w:sz w:val="24"/>
          <w:szCs w:val="24"/>
          <w:shd w:val="clear" w:color="auto" w:fill="FFFFFF"/>
        </w:rPr>
        <w:t>jumā ir novērtēta ar "4" un "5".”</w:t>
      </w:r>
    </w:p>
    <w:p w14:paraId="508FFEEE" w14:textId="2A67260E" w:rsidR="00C10FFE" w:rsidRPr="006913F3" w:rsidRDefault="00C10FFE" w:rsidP="007B033E">
      <w:pPr>
        <w:spacing w:after="0" w:line="240" w:lineRule="auto"/>
        <w:ind w:firstLine="720"/>
        <w:jc w:val="both"/>
        <w:rPr>
          <w:rFonts w:ascii="Times New Roman" w:hAnsi="Times New Roman" w:cs="Times New Roman"/>
          <w:sz w:val="24"/>
          <w:szCs w:val="24"/>
          <w:shd w:val="clear" w:color="auto" w:fill="FFFFFF"/>
        </w:rPr>
      </w:pPr>
      <w:r w:rsidRPr="006913F3">
        <w:rPr>
          <w:rFonts w:ascii="Times New Roman" w:hAnsi="Times New Roman" w:cs="Times New Roman"/>
          <w:sz w:val="24"/>
          <w:szCs w:val="24"/>
          <w:shd w:val="clear" w:color="auto" w:fill="FFFFFF"/>
        </w:rPr>
        <w:t xml:space="preserve">10 % finansējums izcilībai, pēc </w:t>
      </w:r>
      <w:r w:rsidR="00A340EF" w:rsidRPr="00124A1A">
        <w:rPr>
          <w:rFonts w:ascii="Times New Roman" w:hAnsi="Times New Roman" w:cs="Times New Roman"/>
          <w:sz w:val="24"/>
          <w:szCs w:val="24"/>
        </w:rPr>
        <w:t>zinātnisko institūciju darbības starptautiskajā izvērtējuma</w:t>
      </w:r>
      <w:r w:rsidR="00A340EF">
        <w:rPr>
          <w:rFonts w:ascii="Times New Roman" w:hAnsi="Times New Roman" w:cs="Times New Roman"/>
          <w:sz w:val="24"/>
          <w:szCs w:val="24"/>
          <w:shd w:val="clear" w:color="auto" w:fill="FFFFFF"/>
        </w:rPr>
        <w:t xml:space="preserve"> </w:t>
      </w:r>
      <w:r w:rsidRPr="006913F3">
        <w:rPr>
          <w:rFonts w:ascii="Times New Roman" w:hAnsi="Times New Roman" w:cs="Times New Roman"/>
          <w:sz w:val="24"/>
          <w:szCs w:val="24"/>
          <w:shd w:val="clear" w:color="auto" w:fill="FFFFFF"/>
        </w:rPr>
        <w:t xml:space="preserve">rezultātiem ir saglabājams, lai nodrošinātu stimulu labi novērtētām </w:t>
      </w:r>
      <w:r w:rsidR="00A340EF">
        <w:rPr>
          <w:rFonts w:ascii="Times New Roman" w:hAnsi="Times New Roman" w:cs="Times New Roman"/>
          <w:sz w:val="24"/>
          <w:szCs w:val="24"/>
          <w:shd w:val="clear" w:color="auto" w:fill="FFFFFF"/>
        </w:rPr>
        <w:t xml:space="preserve">zinātniskajām </w:t>
      </w:r>
      <w:r w:rsidRPr="006913F3">
        <w:rPr>
          <w:rFonts w:ascii="Times New Roman" w:hAnsi="Times New Roman" w:cs="Times New Roman"/>
          <w:sz w:val="24"/>
          <w:szCs w:val="24"/>
          <w:shd w:val="clear" w:color="auto" w:fill="FFFFFF"/>
        </w:rPr>
        <w:t>institūcijām tiekties uz vēl augstākiem rezultātiem. Apmēru palielināt savukārt nav nepiecie</w:t>
      </w:r>
      <w:r w:rsidR="00697A45" w:rsidRPr="006913F3">
        <w:rPr>
          <w:rFonts w:ascii="Times New Roman" w:hAnsi="Times New Roman" w:cs="Times New Roman"/>
          <w:sz w:val="24"/>
          <w:szCs w:val="24"/>
          <w:shd w:val="clear" w:color="auto" w:fill="FFFFFF"/>
        </w:rPr>
        <w:t>šams, lai pārlieku nestimulētu nevienlīdzības veicināšanu starp zinātniskajām institūcijām.</w:t>
      </w:r>
    </w:p>
    <w:p w14:paraId="68E37C8C" w14:textId="77777777" w:rsidR="00A340EF" w:rsidRDefault="00A340EF" w:rsidP="007B033E">
      <w:pPr>
        <w:spacing w:after="0" w:line="240" w:lineRule="auto"/>
        <w:ind w:firstLine="720"/>
        <w:jc w:val="both"/>
        <w:rPr>
          <w:rFonts w:ascii="Times New Roman" w:hAnsi="Times New Roman" w:cs="Times New Roman"/>
          <w:sz w:val="24"/>
          <w:szCs w:val="24"/>
          <w:shd w:val="clear" w:color="auto" w:fill="FFFFFF"/>
        </w:rPr>
      </w:pPr>
    </w:p>
    <w:p w14:paraId="6136046F" w14:textId="0BC490C9" w:rsidR="00C50B88" w:rsidRPr="006913F3" w:rsidRDefault="00697A45" w:rsidP="007B033E">
      <w:pPr>
        <w:spacing w:after="0" w:line="240" w:lineRule="auto"/>
        <w:ind w:firstLine="720"/>
        <w:jc w:val="both"/>
        <w:rPr>
          <w:rFonts w:ascii="Times New Roman" w:hAnsi="Times New Roman" w:cs="Times New Roman"/>
          <w:sz w:val="24"/>
          <w:szCs w:val="24"/>
          <w:shd w:val="clear" w:color="auto" w:fill="FFFFFF"/>
        </w:rPr>
      </w:pPr>
      <w:r w:rsidRPr="006913F3">
        <w:rPr>
          <w:rFonts w:ascii="Times New Roman" w:hAnsi="Times New Roman" w:cs="Times New Roman"/>
          <w:sz w:val="24"/>
          <w:szCs w:val="24"/>
          <w:shd w:val="clear" w:color="auto" w:fill="FFFFFF"/>
        </w:rPr>
        <w:t xml:space="preserve">Piedāvājums ir </w:t>
      </w:r>
      <w:r w:rsidR="00B251D4" w:rsidRPr="006913F3">
        <w:rPr>
          <w:rFonts w:ascii="Times New Roman" w:hAnsi="Times New Roman" w:cs="Times New Roman"/>
          <w:sz w:val="24"/>
          <w:szCs w:val="24"/>
          <w:shd w:val="clear" w:color="auto" w:fill="FFFFFF"/>
        </w:rPr>
        <w:t>veikt</w:t>
      </w:r>
      <w:r w:rsidRPr="006913F3">
        <w:rPr>
          <w:rFonts w:ascii="Times New Roman" w:hAnsi="Times New Roman" w:cs="Times New Roman"/>
          <w:sz w:val="24"/>
          <w:szCs w:val="24"/>
          <w:shd w:val="clear" w:color="auto" w:fill="FFFFFF"/>
        </w:rPr>
        <w:t xml:space="preserve"> izmaiņas šajos principos, tos piemērojot nevis pēc</w:t>
      </w:r>
      <w:r w:rsidR="00A340EF">
        <w:rPr>
          <w:rFonts w:ascii="Times New Roman" w:hAnsi="Times New Roman" w:cs="Times New Roman"/>
          <w:sz w:val="24"/>
          <w:szCs w:val="24"/>
          <w:shd w:val="clear" w:color="auto" w:fill="FFFFFF"/>
        </w:rPr>
        <w:t xml:space="preserve"> zinatnisko</w:t>
      </w:r>
      <w:r w:rsidRPr="006913F3">
        <w:rPr>
          <w:rFonts w:ascii="Times New Roman" w:hAnsi="Times New Roman" w:cs="Times New Roman"/>
          <w:sz w:val="24"/>
          <w:szCs w:val="24"/>
          <w:shd w:val="clear" w:color="auto" w:fill="FFFFFF"/>
        </w:rPr>
        <w:t xml:space="preserve"> institūciju vai vērtējamo vienību gala vērtējuma</w:t>
      </w:r>
      <w:r w:rsidR="00A340EF" w:rsidRPr="00A340EF">
        <w:rPr>
          <w:rFonts w:ascii="Times New Roman" w:hAnsi="Times New Roman" w:cs="Times New Roman"/>
          <w:sz w:val="24"/>
          <w:szCs w:val="24"/>
        </w:rPr>
        <w:t xml:space="preserve"> </w:t>
      </w:r>
      <w:r w:rsidR="00A340EF" w:rsidRPr="00124A1A">
        <w:rPr>
          <w:rFonts w:ascii="Times New Roman" w:hAnsi="Times New Roman" w:cs="Times New Roman"/>
          <w:sz w:val="24"/>
          <w:szCs w:val="24"/>
        </w:rPr>
        <w:t>zinātnisko institūciju darb</w:t>
      </w:r>
      <w:r w:rsidR="00A340EF">
        <w:rPr>
          <w:rFonts w:ascii="Times New Roman" w:hAnsi="Times New Roman" w:cs="Times New Roman"/>
          <w:sz w:val="24"/>
          <w:szCs w:val="24"/>
        </w:rPr>
        <w:t>ības starptautiskajā izvērtējumā</w:t>
      </w:r>
      <w:r w:rsidR="00A340EF">
        <w:rPr>
          <w:rFonts w:ascii="Times New Roman" w:hAnsi="Times New Roman" w:cs="Times New Roman"/>
          <w:sz w:val="24"/>
          <w:szCs w:val="24"/>
          <w:shd w:val="clear" w:color="auto" w:fill="FFFFFF"/>
        </w:rPr>
        <w:t xml:space="preserve"> </w:t>
      </w:r>
      <w:r w:rsidRPr="006913F3">
        <w:rPr>
          <w:rFonts w:ascii="Times New Roman" w:hAnsi="Times New Roman" w:cs="Times New Roman"/>
          <w:sz w:val="24"/>
          <w:szCs w:val="24"/>
          <w:shd w:val="clear" w:color="auto" w:fill="FFFFFF"/>
        </w:rPr>
        <w:t>, bet, balstoties uz to, cik daudzos kritērijos ir saņemts vērtējums „4” vai „5”, papildus sverot pēc</w:t>
      </w:r>
      <w:r w:rsidR="00A340EF">
        <w:rPr>
          <w:rFonts w:ascii="Times New Roman" w:hAnsi="Times New Roman" w:cs="Times New Roman"/>
          <w:sz w:val="24"/>
          <w:szCs w:val="24"/>
          <w:shd w:val="clear" w:color="auto" w:fill="FFFFFF"/>
        </w:rPr>
        <w:t xml:space="preserve"> zinatniskās</w:t>
      </w:r>
      <w:r w:rsidRPr="006913F3">
        <w:rPr>
          <w:rFonts w:ascii="Times New Roman" w:hAnsi="Times New Roman" w:cs="Times New Roman"/>
          <w:sz w:val="24"/>
          <w:szCs w:val="24"/>
          <w:shd w:val="clear" w:color="auto" w:fill="FFFFFF"/>
        </w:rPr>
        <w:t xml:space="preserve"> institūcijas izmēra (</w:t>
      </w:r>
      <w:r w:rsidR="00DC243F" w:rsidRPr="006913F3">
        <w:rPr>
          <w:rFonts w:ascii="Times New Roman" w:hAnsi="Times New Roman" w:cs="Times New Roman"/>
          <w:sz w:val="24"/>
          <w:szCs w:val="24"/>
          <w:shd w:val="clear" w:color="auto" w:fill="FFFFFF"/>
        </w:rPr>
        <w:t xml:space="preserve">kurš ir noteikts balstoties uz </w:t>
      </w:r>
      <w:r w:rsidR="00C50B88" w:rsidRPr="006913F3">
        <w:rPr>
          <w:rFonts w:ascii="Times New Roman" w:hAnsi="Times New Roman" w:cs="Times New Roman"/>
          <w:sz w:val="24"/>
          <w:szCs w:val="24"/>
          <w:shd w:val="clear" w:color="auto" w:fill="FFFFFF"/>
        </w:rPr>
        <w:t>institūcijas zinātnisko darbinieku skaita PLE izteiksmē</w:t>
      </w:r>
      <w:r w:rsidR="00AC1E30" w:rsidRPr="006913F3">
        <w:rPr>
          <w:rFonts w:ascii="Times New Roman" w:hAnsi="Times New Roman" w:cs="Times New Roman"/>
          <w:sz w:val="24"/>
          <w:szCs w:val="24"/>
          <w:shd w:val="clear" w:color="auto" w:fill="FFFFFF"/>
        </w:rPr>
        <w:t>)</w:t>
      </w:r>
      <w:r w:rsidR="00C50B88" w:rsidRPr="006913F3">
        <w:rPr>
          <w:rFonts w:ascii="Times New Roman" w:hAnsi="Times New Roman" w:cs="Times New Roman"/>
          <w:sz w:val="24"/>
          <w:szCs w:val="24"/>
          <w:shd w:val="clear" w:color="auto" w:fill="FFFFFF"/>
        </w:rPr>
        <w:t>.</w:t>
      </w:r>
    </w:p>
    <w:p w14:paraId="796719F7" w14:textId="70550597" w:rsidR="001C2173" w:rsidRPr="006913F3" w:rsidRDefault="001C2173" w:rsidP="00934850">
      <w:pPr>
        <w:jc w:val="both"/>
        <w:rPr>
          <w:rFonts w:ascii="Times New Roman" w:hAnsi="Times New Roman" w:cs="Times New Roman"/>
          <w:sz w:val="24"/>
          <w:szCs w:val="24"/>
          <w:shd w:val="clear" w:color="auto" w:fill="FFFFFF"/>
        </w:rPr>
      </w:pPr>
      <w:r w:rsidRPr="00CF38AA">
        <w:rPr>
          <w:rFonts w:ascii="Times New Roman" w:hAnsi="Times New Roman" w:cs="Times New Roman"/>
          <w:noProof/>
          <w:sz w:val="28"/>
          <w:szCs w:val="28"/>
          <w:lang w:val="en-GB" w:eastAsia="en-GB"/>
        </w:rPr>
        <w:drawing>
          <wp:inline distT="0" distB="0" distL="0" distR="0" wp14:anchorId="54F1DE11" wp14:editId="7BF99243">
            <wp:extent cx="6195060" cy="28422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860553" w14:textId="5D443AFD" w:rsidR="001C2173" w:rsidRDefault="00561ED3" w:rsidP="00F756A8">
      <w:pPr>
        <w:spacing w:after="0" w:line="240" w:lineRule="auto"/>
        <w:rPr>
          <w:rFonts w:ascii="Times New Roman" w:hAnsi="Times New Roman" w:cs="Times New Roman"/>
          <w:sz w:val="24"/>
          <w:szCs w:val="24"/>
        </w:rPr>
      </w:pPr>
      <w:r w:rsidRPr="006913F3">
        <w:rPr>
          <w:rFonts w:ascii="Times New Roman" w:hAnsi="Times New Roman" w:cs="Times New Roman"/>
          <w:b/>
          <w:sz w:val="24"/>
          <w:szCs w:val="24"/>
        </w:rPr>
        <w:t>12.</w:t>
      </w:r>
      <w:r w:rsidR="000B0816">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Pr="006913F3">
        <w:rPr>
          <w:rFonts w:ascii="Times New Roman" w:hAnsi="Times New Roman" w:cs="Times New Roman"/>
          <w:sz w:val="24"/>
          <w:szCs w:val="24"/>
        </w:rPr>
        <w:t xml:space="preserve"> Kritēriju skaits zinātnes bāzes finansējumu saņemošajām</w:t>
      </w:r>
      <w:r w:rsidR="00A340EF">
        <w:rPr>
          <w:rFonts w:ascii="Times New Roman" w:hAnsi="Times New Roman" w:cs="Times New Roman"/>
          <w:sz w:val="24"/>
          <w:szCs w:val="24"/>
        </w:rPr>
        <w:t xml:space="preserve"> zinātniskajām</w:t>
      </w:r>
      <w:r w:rsidRPr="006913F3">
        <w:rPr>
          <w:rFonts w:ascii="Times New Roman" w:hAnsi="Times New Roman" w:cs="Times New Roman"/>
          <w:sz w:val="24"/>
          <w:szCs w:val="24"/>
        </w:rPr>
        <w:t xml:space="preserve"> institūcijām, kuros ir saņemts vērtējums "4" vai "5" starptautiskajā </w:t>
      </w:r>
      <w:r w:rsidR="003B6A49">
        <w:rPr>
          <w:rFonts w:ascii="Times New Roman" w:hAnsi="Times New Roman" w:cs="Times New Roman"/>
          <w:sz w:val="24"/>
          <w:szCs w:val="24"/>
        </w:rPr>
        <w:t>novērtējumā</w:t>
      </w:r>
      <w:r w:rsidR="00CF38AA">
        <w:rPr>
          <w:rFonts w:ascii="Times New Roman" w:hAnsi="Times New Roman" w:cs="Times New Roman"/>
          <w:sz w:val="24"/>
          <w:szCs w:val="24"/>
        </w:rPr>
        <w:t xml:space="preserve"> (IZM, IZM aprēķini)</w:t>
      </w:r>
    </w:p>
    <w:p w14:paraId="3F9BE584" w14:textId="77777777" w:rsidR="00CF38AA" w:rsidRPr="00CF38AA" w:rsidRDefault="00CF38AA" w:rsidP="00F756A8">
      <w:pPr>
        <w:spacing w:after="0" w:line="240" w:lineRule="auto"/>
        <w:rPr>
          <w:rFonts w:ascii="Times New Roman" w:hAnsi="Times New Roman" w:cs="Times New Roman"/>
          <w:sz w:val="24"/>
          <w:szCs w:val="24"/>
        </w:rPr>
      </w:pPr>
    </w:p>
    <w:p w14:paraId="0E320484" w14:textId="0C04E47D" w:rsidR="00AC1E30" w:rsidRPr="006913F3" w:rsidRDefault="001C2173" w:rsidP="00F756A8">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b/>
          <w:bCs/>
          <w:sz w:val="24"/>
          <w:szCs w:val="24"/>
        </w:rPr>
        <w:t>4</w:t>
      </w:r>
      <w:r w:rsidR="00AC1E30" w:rsidRPr="006913F3">
        <w:rPr>
          <w:rFonts w:ascii="Times New Roman" w:hAnsi="Times New Roman" w:cs="Times New Roman"/>
          <w:b/>
          <w:bCs/>
          <w:sz w:val="24"/>
          <w:szCs w:val="24"/>
        </w:rPr>
        <w:t xml:space="preserve">. Definēt pamatprincipus </w:t>
      </w:r>
      <w:r w:rsidR="00AC1E30" w:rsidRPr="006913F3">
        <w:rPr>
          <w:rFonts w:ascii="Times New Roman" w:hAnsi="Times New Roman" w:cs="Times New Roman"/>
          <w:sz w:val="24"/>
          <w:szCs w:val="24"/>
        </w:rPr>
        <w:t>tālākajai sasaistei ar 2025.</w:t>
      </w:r>
      <w:r w:rsidR="000B0816">
        <w:rPr>
          <w:rFonts w:ascii="Times New Roman" w:hAnsi="Times New Roman" w:cs="Times New Roman"/>
          <w:sz w:val="24"/>
          <w:szCs w:val="24"/>
        </w:rPr>
        <w:t xml:space="preserve"> </w:t>
      </w:r>
      <w:r w:rsidR="00AC1E30" w:rsidRPr="006913F3">
        <w:rPr>
          <w:rFonts w:ascii="Times New Roman" w:hAnsi="Times New Roman" w:cs="Times New Roman"/>
          <w:sz w:val="24"/>
          <w:szCs w:val="24"/>
        </w:rPr>
        <w:t>gada zinātnisko institūciju</w:t>
      </w:r>
      <w:r w:rsidR="00D500A3" w:rsidRPr="006913F3">
        <w:rPr>
          <w:rFonts w:ascii="Times New Roman" w:hAnsi="Times New Roman" w:cs="Times New Roman"/>
          <w:sz w:val="24"/>
          <w:szCs w:val="24"/>
        </w:rPr>
        <w:t xml:space="preserve"> </w:t>
      </w:r>
      <w:r w:rsidR="00A340EF" w:rsidRPr="00124A1A">
        <w:rPr>
          <w:rFonts w:ascii="Times New Roman" w:hAnsi="Times New Roman" w:cs="Times New Roman"/>
          <w:sz w:val="24"/>
          <w:szCs w:val="24"/>
        </w:rPr>
        <w:t>darb</w:t>
      </w:r>
      <w:r w:rsidR="00A340EF">
        <w:rPr>
          <w:rFonts w:ascii="Times New Roman" w:hAnsi="Times New Roman" w:cs="Times New Roman"/>
          <w:sz w:val="24"/>
          <w:szCs w:val="24"/>
        </w:rPr>
        <w:t xml:space="preserve">ības </w:t>
      </w:r>
      <w:r w:rsidR="00D500A3" w:rsidRPr="006913F3">
        <w:rPr>
          <w:rFonts w:ascii="Times New Roman" w:hAnsi="Times New Roman" w:cs="Times New Roman"/>
          <w:sz w:val="24"/>
          <w:szCs w:val="24"/>
        </w:rPr>
        <w:t xml:space="preserve">starptautisko </w:t>
      </w:r>
      <w:r w:rsidR="00A340EF">
        <w:rPr>
          <w:rFonts w:ascii="Times New Roman" w:hAnsi="Times New Roman" w:cs="Times New Roman"/>
          <w:sz w:val="24"/>
          <w:szCs w:val="24"/>
        </w:rPr>
        <w:t>iz</w:t>
      </w:r>
      <w:r w:rsidR="00755FAE">
        <w:rPr>
          <w:rFonts w:ascii="Times New Roman" w:hAnsi="Times New Roman" w:cs="Times New Roman"/>
          <w:sz w:val="24"/>
          <w:szCs w:val="24"/>
        </w:rPr>
        <w:t>vērtējumu</w:t>
      </w:r>
      <w:r w:rsidR="00D500A3" w:rsidRPr="006913F3">
        <w:rPr>
          <w:rFonts w:ascii="Times New Roman" w:hAnsi="Times New Roman" w:cs="Times New Roman"/>
          <w:sz w:val="24"/>
          <w:szCs w:val="24"/>
        </w:rPr>
        <w:t xml:space="preserve"> (pamatojoties uz</w:t>
      </w:r>
      <w:r w:rsidR="00C50B88" w:rsidRPr="006913F3">
        <w:rPr>
          <w:rFonts w:ascii="Times New Roman" w:hAnsi="Times New Roman" w:cs="Times New Roman"/>
          <w:sz w:val="24"/>
          <w:szCs w:val="24"/>
        </w:rPr>
        <w:t xml:space="preserve"> </w:t>
      </w:r>
      <w:r w:rsidR="00A340EF" w:rsidRPr="00FA2E9C">
        <w:rPr>
          <w:rFonts w:ascii="Times New Roman" w:hAnsi="Times New Roman" w:cs="Times New Roman"/>
          <w:sz w:val="24"/>
          <w:szCs w:val="24"/>
        </w:rPr>
        <w:t>A</w:t>
      </w:r>
      <w:r w:rsidR="00A340EF">
        <w:rPr>
          <w:rFonts w:ascii="Times New Roman" w:hAnsi="Times New Roman" w:cs="Times New Roman"/>
          <w:sz w:val="24"/>
          <w:szCs w:val="24"/>
        </w:rPr>
        <w:t>ugstkolu likumu</w:t>
      </w:r>
      <w:r w:rsidR="00A340EF" w:rsidRPr="00FA2E9C">
        <w:rPr>
          <w:rFonts w:ascii="Times New Roman" w:hAnsi="Times New Roman" w:cs="Times New Roman"/>
          <w:sz w:val="24"/>
          <w:szCs w:val="24"/>
        </w:rPr>
        <w:t xml:space="preserve"> </w:t>
      </w:r>
      <w:r w:rsidR="00A340EF" w:rsidRPr="00FA2E9C">
        <w:rPr>
          <w:rFonts w:ascii="Times New Roman" w:eastAsia="Calibri" w:hAnsi="Times New Roman" w:cs="Times New Roman"/>
          <w:iCs/>
          <w:sz w:val="24"/>
          <w:szCs w:val="24"/>
          <w:lang w:eastAsia="lv-LV"/>
        </w:rPr>
        <w:t>(</w:t>
      </w:r>
      <w:hyperlink r:id="rId22" w:tgtFrame="_blank" w:history="1">
        <w:r w:rsidR="00A340EF" w:rsidRPr="00FA2E9C">
          <w:rPr>
            <w:rFonts w:ascii="Times New Roman" w:eastAsia="Calibri" w:hAnsi="Times New Roman" w:cs="Times New Roman"/>
            <w:iCs/>
            <w:color w:val="0000FF"/>
            <w:sz w:val="24"/>
            <w:szCs w:val="24"/>
            <w:u w:val="single"/>
            <w:lang w:eastAsia="lv-LV"/>
          </w:rPr>
          <w:t>08.06.2021</w:t>
        </w:r>
      </w:hyperlink>
      <w:r w:rsidR="00A340EF" w:rsidRPr="00FA2E9C">
        <w:rPr>
          <w:rFonts w:ascii="Times New Roman" w:eastAsia="Calibri" w:hAnsi="Times New Roman" w:cs="Times New Roman"/>
          <w:iCs/>
          <w:sz w:val="24"/>
          <w:szCs w:val="24"/>
          <w:lang w:eastAsia="lv-LV"/>
        </w:rPr>
        <w:t>. likuma redakcijā, kas stājas spēkā </w:t>
      </w:r>
      <w:hyperlink r:id="rId23" w:tgtFrame="_blank" w:history="1">
        <w:r w:rsidR="00A340EF" w:rsidRPr="00FA2E9C">
          <w:rPr>
            <w:rFonts w:ascii="Times New Roman" w:eastAsia="Calibri" w:hAnsi="Times New Roman" w:cs="Times New Roman"/>
            <w:iCs/>
            <w:color w:val="0000FF"/>
            <w:sz w:val="24"/>
            <w:szCs w:val="24"/>
            <w:u w:val="single"/>
            <w:lang w:eastAsia="lv-LV"/>
          </w:rPr>
          <w:t>16.08.2021.</w:t>
        </w:r>
      </w:hyperlink>
      <w:r w:rsidR="00A340EF" w:rsidRPr="00FA2E9C">
        <w:rPr>
          <w:rFonts w:ascii="Times New Roman" w:eastAsia="Calibri" w:hAnsi="Times New Roman" w:cs="Times New Roman"/>
          <w:iCs/>
          <w:sz w:val="24"/>
          <w:szCs w:val="24"/>
          <w:lang w:eastAsia="lv-LV"/>
        </w:rPr>
        <w:t>)</w:t>
      </w:r>
      <w:r w:rsidR="00C50B88" w:rsidRPr="006913F3">
        <w:rPr>
          <w:rFonts w:ascii="Times New Roman" w:hAnsi="Times New Roman" w:cs="Times New Roman"/>
          <w:sz w:val="24"/>
          <w:szCs w:val="24"/>
        </w:rPr>
        <w:t>), pamatojoties uz katram augstskolas tipam atbilstošo sasaisti ar zinātn</w:t>
      </w:r>
      <w:r w:rsidR="00755FAE">
        <w:rPr>
          <w:rFonts w:ascii="Times New Roman" w:hAnsi="Times New Roman" w:cs="Times New Roman"/>
          <w:sz w:val="24"/>
          <w:szCs w:val="24"/>
        </w:rPr>
        <w:t>isko institūciju</w:t>
      </w:r>
      <w:r w:rsidR="00A340EF" w:rsidRPr="00A340EF">
        <w:rPr>
          <w:rFonts w:ascii="Times New Roman" w:hAnsi="Times New Roman" w:cs="Times New Roman"/>
          <w:sz w:val="24"/>
          <w:szCs w:val="24"/>
        </w:rPr>
        <w:t xml:space="preserve"> </w:t>
      </w:r>
      <w:r w:rsidR="00A340EF" w:rsidRPr="00124A1A">
        <w:rPr>
          <w:rFonts w:ascii="Times New Roman" w:hAnsi="Times New Roman" w:cs="Times New Roman"/>
          <w:sz w:val="24"/>
          <w:szCs w:val="24"/>
        </w:rPr>
        <w:t>darb</w:t>
      </w:r>
      <w:r w:rsidR="00A340EF">
        <w:rPr>
          <w:rFonts w:ascii="Times New Roman" w:hAnsi="Times New Roman" w:cs="Times New Roman"/>
          <w:sz w:val="24"/>
          <w:szCs w:val="24"/>
        </w:rPr>
        <w:t>ības</w:t>
      </w:r>
      <w:r w:rsidR="00755FAE">
        <w:rPr>
          <w:rFonts w:ascii="Times New Roman" w:hAnsi="Times New Roman" w:cs="Times New Roman"/>
          <w:sz w:val="24"/>
          <w:szCs w:val="24"/>
        </w:rPr>
        <w:t xml:space="preserve"> starptautisko </w:t>
      </w:r>
      <w:r w:rsidR="00A340EF">
        <w:rPr>
          <w:rFonts w:ascii="Times New Roman" w:hAnsi="Times New Roman" w:cs="Times New Roman"/>
          <w:sz w:val="24"/>
          <w:szCs w:val="24"/>
        </w:rPr>
        <w:t>iz</w:t>
      </w:r>
      <w:r w:rsidR="00755FAE">
        <w:rPr>
          <w:rFonts w:ascii="Times New Roman" w:hAnsi="Times New Roman" w:cs="Times New Roman"/>
          <w:sz w:val="24"/>
          <w:szCs w:val="24"/>
        </w:rPr>
        <w:t>vērtējumu</w:t>
      </w:r>
      <w:r w:rsidR="00C50B88" w:rsidRPr="006913F3">
        <w:rPr>
          <w:rFonts w:ascii="Times New Roman" w:hAnsi="Times New Roman" w:cs="Times New Roman"/>
          <w:sz w:val="24"/>
          <w:szCs w:val="24"/>
        </w:rPr>
        <w:t>, kurš nosaka</w:t>
      </w:r>
      <w:r w:rsidR="00A340EF">
        <w:rPr>
          <w:rFonts w:ascii="Times New Roman" w:hAnsi="Times New Roman" w:cs="Times New Roman"/>
          <w:sz w:val="24"/>
          <w:szCs w:val="24"/>
        </w:rPr>
        <w:t>,</w:t>
      </w:r>
      <w:r w:rsidR="00C50B88" w:rsidRPr="006913F3">
        <w:rPr>
          <w:rFonts w:ascii="Times New Roman" w:hAnsi="Times New Roman" w:cs="Times New Roman"/>
          <w:sz w:val="24"/>
          <w:szCs w:val="24"/>
        </w:rPr>
        <w:t>:</w:t>
      </w:r>
    </w:p>
    <w:p w14:paraId="71D46C94" w14:textId="2194D47B" w:rsidR="00C50B88" w:rsidRPr="00CF38AA" w:rsidRDefault="00A340EF" w:rsidP="00F756A8">
      <w:pPr>
        <w:pStyle w:val="ListParagraph"/>
        <w:numPr>
          <w:ilvl w:val="0"/>
          <w:numId w:val="1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E77E4">
        <w:rPr>
          <w:rFonts w:ascii="Times New Roman" w:hAnsi="Times New Roman" w:cs="Times New Roman"/>
          <w:sz w:val="24"/>
          <w:szCs w:val="24"/>
        </w:rPr>
        <w:t>z</w:t>
      </w:r>
      <w:r w:rsidR="00BE77E4" w:rsidRPr="00CF38AA">
        <w:rPr>
          <w:rFonts w:ascii="Times New Roman" w:hAnsi="Times New Roman" w:cs="Times New Roman"/>
          <w:sz w:val="24"/>
          <w:szCs w:val="24"/>
        </w:rPr>
        <w:t xml:space="preserve">inātnes </w:t>
      </w:r>
      <w:r w:rsidR="00C50B88" w:rsidRPr="00CF38AA">
        <w:rPr>
          <w:rFonts w:ascii="Times New Roman" w:hAnsi="Times New Roman" w:cs="Times New Roman"/>
          <w:sz w:val="24"/>
          <w:szCs w:val="24"/>
        </w:rPr>
        <w:t xml:space="preserve">universitātēm – zinātnisko institūciju darbības </w:t>
      </w:r>
      <w:r w:rsidR="00B251D4" w:rsidRPr="00CF38AA">
        <w:rPr>
          <w:rFonts w:ascii="Times New Roman" w:hAnsi="Times New Roman" w:cs="Times New Roman"/>
          <w:sz w:val="24"/>
          <w:szCs w:val="24"/>
        </w:rPr>
        <w:t xml:space="preserve">starptautiskajā </w:t>
      </w:r>
      <w:r w:rsidR="00AF66B6">
        <w:rPr>
          <w:rFonts w:ascii="Times New Roman" w:hAnsi="Times New Roman" w:cs="Times New Roman"/>
          <w:sz w:val="24"/>
          <w:szCs w:val="24"/>
        </w:rPr>
        <w:t>iz</w:t>
      </w:r>
      <w:r w:rsidR="00B251D4" w:rsidRPr="00CF38AA">
        <w:rPr>
          <w:rFonts w:ascii="Times New Roman" w:hAnsi="Times New Roman" w:cs="Times New Roman"/>
          <w:sz w:val="24"/>
          <w:szCs w:val="24"/>
        </w:rPr>
        <w:t>vērtējumā ieg</w:t>
      </w:r>
      <w:r w:rsidR="00C50B88" w:rsidRPr="00CF38AA">
        <w:rPr>
          <w:rFonts w:ascii="Times New Roman" w:hAnsi="Times New Roman" w:cs="Times New Roman"/>
          <w:sz w:val="24"/>
          <w:szCs w:val="24"/>
        </w:rPr>
        <w:t>ūt</w:t>
      </w:r>
      <w:r w:rsidR="00B251D4" w:rsidRPr="00CF38AA">
        <w:rPr>
          <w:rFonts w:ascii="Times New Roman" w:hAnsi="Times New Roman" w:cs="Times New Roman"/>
          <w:sz w:val="24"/>
          <w:szCs w:val="24"/>
        </w:rPr>
        <w:t>s pozitīvs</w:t>
      </w:r>
      <w:r w:rsidR="00AF66B6">
        <w:rPr>
          <w:rFonts w:ascii="Times New Roman" w:hAnsi="Times New Roman" w:cs="Times New Roman"/>
          <w:sz w:val="24"/>
          <w:szCs w:val="24"/>
        </w:rPr>
        <w:t>, vizmaz 3 punktu</w:t>
      </w:r>
      <w:r w:rsidR="00B251D4" w:rsidRPr="00CF38AA">
        <w:rPr>
          <w:rFonts w:ascii="Times New Roman" w:hAnsi="Times New Roman" w:cs="Times New Roman"/>
          <w:sz w:val="24"/>
          <w:szCs w:val="24"/>
        </w:rPr>
        <w:t xml:space="preserve"> </w:t>
      </w:r>
      <w:r w:rsidR="00AF66B6">
        <w:rPr>
          <w:rFonts w:ascii="Times New Roman" w:hAnsi="Times New Roman" w:cs="Times New Roman"/>
          <w:sz w:val="24"/>
          <w:szCs w:val="24"/>
        </w:rPr>
        <w:t>no</w:t>
      </w:r>
      <w:r w:rsidR="00B251D4" w:rsidRPr="00CF38AA">
        <w:rPr>
          <w:rFonts w:ascii="Times New Roman" w:hAnsi="Times New Roman" w:cs="Times New Roman"/>
          <w:sz w:val="24"/>
          <w:szCs w:val="24"/>
        </w:rPr>
        <w:t>vērtējums</w:t>
      </w:r>
      <w:r w:rsidR="00CF38AA">
        <w:rPr>
          <w:rFonts w:ascii="Times New Roman" w:hAnsi="Times New Roman" w:cs="Times New Roman"/>
          <w:sz w:val="24"/>
          <w:szCs w:val="24"/>
        </w:rPr>
        <w:t>;</w:t>
      </w:r>
    </w:p>
    <w:p w14:paraId="3793795E" w14:textId="067FC237" w:rsidR="00C50B88" w:rsidRPr="00CF38AA" w:rsidRDefault="00A340EF" w:rsidP="00F756A8">
      <w:pPr>
        <w:pStyle w:val="ListParagraph"/>
        <w:numPr>
          <w:ilvl w:val="0"/>
          <w:numId w:val="1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BE77E4">
        <w:rPr>
          <w:rFonts w:ascii="Times New Roman" w:hAnsi="Times New Roman" w:cs="Times New Roman"/>
          <w:sz w:val="24"/>
          <w:szCs w:val="24"/>
        </w:rPr>
        <w:t>m</w:t>
      </w:r>
      <w:r w:rsidR="00BE77E4" w:rsidRPr="00CF38AA">
        <w:rPr>
          <w:rFonts w:ascii="Times New Roman" w:hAnsi="Times New Roman" w:cs="Times New Roman"/>
          <w:sz w:val="24"/>
          <w:szCs w:val="24"/>
        </w:rPr>
        <w:t xml:space="preserve">ākslu </w:t>
      </w:r>
      <w:r w:rsidR="00C50B88" w:rsidRPr="00CF38AA">
        <w:rPr>
          <w:rFonts w:ascii="Times New Roman" w:hAnsi="Times New Roman" w:cs="Times New Roman"/>
          <w:sz w:val="24"/>
          <w:szCs w:val="24"/>
        </w:rPr>
        <w:t xml:space="preserve">un kultūras universitātēm </w:t>
      </w:r>
      <w:r w:rsidR="00BE77E4">
        <w:rPr>
          <w:rFonts w:ascii="Times New Roman" w:hAnsi="Times New Roman" w:cs="Times New Roman"/>
          <w:sz w:val="24"/>
          <w:szCs w:val="24"/>
        </w:rPr>
        <w:t>–</w:t>
      </w:r>
      <w:r w:rsidR="00C50B88" w:rsidRPr="00CF38AA">
        <w:rPr>
          <w:rFonts w:ascii="Times New Roman" w:hAnsi="Times New Roman" w:cs="Times New Roman"/>
          <w:sz w:val="24"/>
          <w:szCs w:val="24"/>
        </w:rPr>
        <w:t xml:space="preserve"> vismaz 3 </w:t>
      </w:r>
      <w:r w:rsidR="00BE77E4">
        <w:rPr>
          <w:rFonts w:ascii="Times New Roman" w:hAnsi="Times New Roman" w:cs="Times New Roman"/>
          <w:sz w:val="24"/>
          <w:szCs w:val="24"/>
        </w:rPr>
        <w:t>punktu</w:t>
      </w:r>
      <w:r w:rsidR="00BE77E4" w:rsidRPr="00CF38AA">
        <w:rPr>
          <w:rFonts w:ascii="Times New Roman" w:hAnsi="Times New Roman" w:cs="Times New Roman"/>
          <w:sz w:val="24"/>
          <w:szCs w:val="24"/>
        </w:rPr>
        <w:t xml:space="preserve"> </w:t>
      </w:r>
      <w:r w:rsidR="00C50B88" w:rsidRPr="00CF38AA">
        <w:rPr>
          <w:rFonts w:ascii="Times New Roman" w:hAnsi="Times New Roman" w:cs="Times New Roman"/>
          <w:sz w:val="24"/>
          <w:szCs w:val="24"/>
        </w:rPr>
        <w:t>novērtējumu stratēģiskās specializācijas jomās</w:t>
      </w:r>
      <w:r w:rsidR="00CF38AA">
        <w:rPr>
          <w:rFonts w:ascii="Times New Roman" w:hAnsi="Times New Roman" w:cs="Times New Roman"/>
          <w:sz w:val="24"/>
          <w:szCs w:val="24"/>
        </w:rPr>
        <w:t>;</w:t>
      </w:r>
    </w:p>
    <w:p w14:paraId="11933E4C" w14:textId="52905893" w:rsidR="007B1389" w:rsidRPr="00CF38AA" w:rsidRDefault="00A340EF" w:rsidP="00F756A8">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shd w:val="clear" w:color="auto" w:fill="FFFFFF"/>
        </w:rPr>
        <w:t>3)</w:t>
      </w:r>
      <w:r w:rsidR="00BE77E4">
        <w:rPr>
          <w:rFonts w:ascii="Times New Roman" w:hAnsi="Times New Roman" w:cs="Times New Roman"/>
          <w:sz w:val="24"/>
          <w:szCs w:val="24"/>
          <w:shd w:val="clear" w:color="auto" w:fill="FFFFFF"/>
        </w:rPr>
        <w:t>l</w:t>
      </w:r>
      <w:r w:rsidR="00BE77E4" w:rsidRPr="00CF38AA">
        <w:rPr>
          <w:rFonts w:ascii="Times New Roman" w:hAnsi="Times New Roman" w:cs="Times New Roman"/>
          <w:sz w:val="24"/>
          <w:szCs w:val="24"/>
          <w:shd w:val="clear" w:color="auto" w:fill="FFFFFF"/>
        </w:rPr>
        <w:t xml:space="preserve">ietišķo </w:t>
      </w:r>
      <w:r w:rsidR="00C50B88" w:rsidRPr="00CF38AA">
        <w:rPr>
          <w:rFonts w:ascii="Times New Roman" w:hAnsi="Times New Roman" w:cs="Times New Roman"/>
          <w:sz w:val="24"/>
          <w:szCs w:val="24"/>
          <w:shd w:val="clear" w:color="auto" w:fill="FFFFFF"/>
        </w:rPr>
        <w:t xml:space="preserve">zinātņu universitātēm </w:t>
      </w:r>
      <w:r w:rsidR="00BE77E4">
        <w:rPr>
          <w:rFonts w:ascii="Times New Roman" w:hAnsi="Times New Roman" w:cs="Times New Roman"/>
          <w:sz w:val="24"/>
          <w:szCs w:val="24"/>
          <w:shd w:val="clear" w:color="auto" w:fill="FFFFFF"/>
        </w:rPr>
        <w:t>–</w:t>
      </w:r>
      <w:r w:rsidR="00C50B88" w:rsidRPr="00CF38AA">
        <w:rPr>
          <w:rFonts w:ascii="Times New Roman" w:hAnsi="Times New Roman" w:cs="Times New Roman"/>
          <w:sz w:val="24"/>
          <w:szCs w:val="24"/>
          <w:shd w:val="clear" w:color="auto" w:fill="FFFFFF"/>
        </w:rPr>
        <w:t xml:space="preserve"> </w:t>
      </w:r>
      <w:r w:rsidR="00C50B88" w:rsidRPr="00CF38AA">
        <w:rPr>
          <w:rFonts w:ascii="Times New Roman" w:hAnsi="Times New Roman" w:cs="Times New Roman"/>
          <w:sz w:val="24"/>
          <w:szCs w:val="24"/>
        </w:rPr>
        <w:t xml:space="preserve">vismaz 3 </w:t>
      </w:r>
      <w:r w:rsidR="00BE77E4">
        <w:rPr>
          <w:rFonts w:ascii="Times New Roman" w:hAnsi="Times New Roman" w:cs="Times New Roman"/>
          <w:sz w:val="24"/>
          <w:szCs w:val="24"/>
        </w:rPr>
        <w:t>punktu</w:t>
      </w:r>
      <w:r w:rsidR="00BE77E4" w:rsidRPr="00CF38AA">
        <w:rPr>
          <w:rFonts w:ascii="Times New Roman" w:hAnsi="Times New Roman" w:cs="Times New Roman"/>
          <w:sz w:val="24"/>
          <w:szCs w:val="24"/>
        </w:rPr>
        <w:t xml:space="preserve"> </w:t>
      </w:r>
      <w:r w:rsidR="00C50B88" w:rsidRPr="00CF38AA">
        <w:rPr>
          <w:rFonts w:ascii="Times New Roman" w:hAnsi="Times New Roman" w:cs="Times New Roman"/>
          <w:sz w:val="24"/>
          <w:szCs w:val="24"/>
        </w:rPr>
        <w:t>novērtējumu stratēģiskās specializācijas jomās</w:t>
      </w:r>
      <w:r w:rsidR="00CF38AA">
        <w:rPr>
          <w:rFonts w:ascii="Times New Roman" w:hAnsi="Times New Roman" w:cs="Times New Roman"/>
          <w:sz w:val="24"/>
          <w:szCs w:val="24"/>
        </w:rPr>
        <w:t>;</w:t>
      </w:r>
    </w:p>
    <w:p w14:paraId="50ED295F" w14:textId="16EB73A4" w:rsidR="00C50B88" w:rsidRPr="00CF38AA" w:rsidRDefault="00A340EF" w:rsidP="00F756A8">
      <w:pPr>
        <w:pStyle w:val="ListParagraph"/>
        <w:spacing w:after="0" w:line="24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BE77E4">
        <w:rPr>
          <w:rFonts w:ascii="Times New Roman" w:hAnsi="Times New Roman" w:cs="Times New Roman"/>
          <w:sz w:val="24"/>
          <w:szCs w:val="24"/>
          <w:shd w:val="clear" w:color="auto" w:fill="FFFFFF"/>
        </w:rPr>
        <w:t>l</w:t>
      </w:r>
      <w:r w:rsidR="00BE77E4" w:rsidRPr="00CF38AA">
        <w:rPr>
          <w:rFonts w:ascii="Times New Roman" w:hAnsi="Times New Roman" w:cs="Times New Roman"/>
          <w:sz w:val="24"/>
          <w:szCs w:val="24"/>
          <w:shd w:val="clear" w:color="auto" w:fill="FFFFFF"/>
        </w:rPr>
        <w:t xml:space="preserve">ietišķo </w:t>
      </w:r>
      <w:r w:rsidR="00C50B88" w:rsidRPr="00CF38AA">
        <w:rPr>
          <w:rFonts w:ascii="Times New Roman" w:hAnsi="Times New Roman" w:cs="Times New Roman"/>
          <w:sz w:val="24"/>
          <w:szCs w:val="24"/>
          <w:shd w:val="clear" w:color="auto" w:fill="FFFFFF"/>
        </w:rPr>
        <w:t xml:space="preserve">zinātņu augstskolām </w:t>
      </w:r>
      <w:r w:rsidR="00BE77E4">
        <w:rPr>
          <w:rFonts w:ascii="Times New Roman" w:hAnsi="Times New Roman" w:cs="Times New Roman"/>
          <w:sz w:val="24"/>
          <w:szCs w:val="24"/>
          <w:shd w:val="clear" w:color="auto" w:fill="FFFFFF"/>
        </w:rPr>
        <w:t>–</w:t>
      </w:r>
      <w:r w:rsidR="00C50B88" w:rsidRPr="00CF38AA">
        <w:rPr>
          <w:rFonts w:ascii="Times New Roman" w:hAnsi="Times New Roman" w:cs="Times New Roman"/>
          <w:sz w:val="24"/>
          <w:szCs w:val="24"/>
          <w:shd w:val="clear" w:color="auto" w:fill="FFFFFF"/>
        </w:rPr>
        <w:t xml:space="preserve"> </w:t>
      </w:r>
      <w:r w:rsidR="00C50B88" w:rsidRPr="00CF38AA">
        <w:rPr>
          <w:rFonts w:ascii="Times New Roman" w:hAnsi="Times New Roman" w:cs="Times New Roman"/>
          <w:sz w:val="24"/>
          <w:szCs w:val="24"/>
        </w:rPr>
        <w:t xml:space="preserve">vismaz 2 </w:t>
      </w:r>
      <w:r w:rsidR="00BE77E4">
        <w:rPr>
          <w:rFonts w:ascii="Times New Roman" w:hAnsi="Times New Roman" w:cs="Times New Roman"/>
          <w:sz w:val="24"/>
          <w:szCs w:val="24"/>
        </w:rPr>
        <w:t>punktu</w:t>
      </w:r>
      <w:r w:rsidR="00BE77E4" w:rsidRPr="00CF38AA">
        <w:rPr>
          <w:rFonts w:ascii="Times New Roman" w:hAnsi="Times New Roman" w:cs="Times New Roman"/>
          <w:sz w:val="24"/>
          <w:szCs w:val="24"/>
        </w:rPr>
        <w:t xml:space="preserve"> </w:t>
      </w:r>
      <w:r w:rsidR="00C50B88" w:rsidRPr="00CF38AA">
        <w:rPr>
          <w:rFonts w:ascii="Times New Roman" w:hAnsi="Times New Roman" w:cs="Times New Roman"/>
          <w:sz w:val="24"/>
          <w:szCs w:val="24"/>
        </w:rPr>
        <w:t>novērtējumu stratēģiskās specializācijas jomās</w:t>
      </w:r>
      <w:r w:rsidR="00CF38AA">
        <w:rPr>
          <w:rFonts w:ascii="Times New Roman" w:hAnsi="Times New Roman" w:cs="Times New Roman"/>
          <w:sz w:val="24"/>
          <w:szCs w:val="24"/>
        </w:rPr>
        <w:t>.</w:t>
      </w:r>
    </w:p>
    <w:p w14:paraId="71031C3F" w14:textId="6CE7D237" w:rsidR="00C50B88" w:rsidRPr="006913F3" w:rsidRDefault="00C50B88" w:rsidP="00F756A8">
      <w:pPr>
        <w:spacing w:after="0" w:line="240" w:lineRule="auto"/>
        <w:ind w:firstLine="720"/>
        <w:jc w:val="both"/>
        <w:rPr>
          <w:rFonts w:ascii="Times New Roman" w:hAnsi="Times New Roman" w:cs="Times New Roman"/>
          <w:sz w:val="24"/>
          <w:szCs w:val="24"/>
          <w:shd w:val="clear" w:color="auto" w:fill="FFFFFF"/>
        </w:rPr>
      </w:pPr>
      <w:r w:rsidRPr="006913F3">
        <w:rPr>
          <w:rFonts w:ascii="Times New Roman" w:hAnsi="Times New Roman" w:cs="Times New Roman"/>
          <w:sz w:val="24"/>
          <w:szCs w:val="24"/>
          <w:shd w:val="clear" w:color="auto" w:fill="FFFFFF"/>
        </w:rPr>
        <w:lastRenderedPageBreak/>
        <w:t xml:space="preserve">Šādi sasniedzamie kritēriji arī jaunajā zinātnes bāzes finansējuma aprēķinu formulā ir jānosaka atbilstoši </w:t>
      </w:r>
      <w:r w:rsidR="00AF66B6">
        <w:rPr>
          <w:rFonts w:ascii="Times New Roman" w:hAnsi="Times New Roman" w:cs="Times New Roman"/>
          <w:sz w:val="24"/>
          <w:szCs w:val="24"/>
          <w:shd w:val="clear" w:color="auto" w:fill="FFFFFF"/>
        </w:rPr>
        <w:t xml:space="preserve">valsts </w:t>
      </w:r>
      <w:r w:rsidR="00B251D4" w:rsidRPr="006913F3">
        <w:rPr>
          <w:rFonts w:ascii="Times New Roman" w:hAnsi="Times New Roman" w:cs="Times New Roman"/>
          <w:sz w:val="24"/>
          <w:szCs w:val="24"/>
          <w:shd w:val="clear" w:color="auto" w:fill="FFFFFF"/>
        </w:rPr>
        <w:t>augstskolai</w:t>
      </w:r>
      <w:r w:rsidRPr="006913F3">
        <w:rPr>
          <w:rFonts w:ascii="Times New Roman" w:hAnsi="Times New Roman" w:cs="Times New Roman"/>
          <w:sz w:val="24"/>
          <w:szCs w:val="24"/>
          <w:shd w:val="clear" w:color="auto" w:fill="FFFFFF"/>
        </w:rPr>
        <w:t xml:space="preserve"> atbilstošajam un noteiktajam</w:t>
      </w:r>
      <w:r w:rsidR="00AF66B6">
        <w:rPr>
          <w:rFonts w:ascii="Times New Roman" w:hAnsi="Times New Roman" w:cs="Times New Roman"/>
          <w:sz w:val="24"/>
          <w:szCs w:val="24"/>
          <w:shd w:val="clear" w:color="auto" w:fill="FFFFFF"/>
        </w:rPr>
        <w:t xml:space="preserve"> augstkolas</w:t>
      </w:r>
      <w:r w:rsidRPr="006913F3">
        <w:rPr>
          <w:rFonts w:ascii="Times New Roman" w:hAnsi="Times New Roman" w:cs="Times New Roman"/>
          <w:sz w:val="24"/>
          <w:szCs w:val="24"/>
          <w:shd w:val="clear" w:color="auto" w:fill="FFFFFF"/>
        </w:rPr>
        <w:t xml:space="preserve"> tipam, attiecībā par minimālajām prasībām attiecībā par 2025.gada </w:t>
      </w:r>
      <w:r w:rsidR="00AF66B6" w:rsidRPr="00CF38AA">
        <w:rPr>
          <w:rFonts w:ascii="Times New Roman" w:hAnsi="Times New Roman" w:cs="Times New Roman"/>
          <w:sz w:val="24"/>
          <w:szCs w:val="24"/>
        </w:rPr>
        <w:t xml:space="preserve">zinātnisko institūciju darbības </w:t>
      </w:r>
      <w:r w:rsidRPr="006913F3">
        <w:rPr>
          <w:rFonts w:ascii="Times New Roman" w:hAnsi="Times New Roman" w:cs="Times New Roman"/>
          <w:sz w:val="24"/>
          <w:szCs w:val="24"/>
          <w:shd w:val="clear" w:color="auto" w:fill="FFFFFF"/>
        </w:rPr>
        <w:t>starptautisko</w:t>
      </w:r>
      <w:r w:rsidR="00AF66B6" w:rsidRPr="00AF66B6">
        <w:rPr>
          <w:rFonts w:ascii="Times New Roman" w:hAnsi="Times New Roman" w:cs="Times New Roman"/>
          <w:sz w:val="24"/>
          <w:szCs w:val="24"/>
        </w:rPr>
        <w:t xml:space="preserve"> </w:t>
      </w:r>
      <w:r w:rsidR="00AF66B6">
        <w:rPr>
          <w:rFonts w:ascii="Times New Roman" w:hAnsi="Times New Roman" w:cs="Times New Roman"/>
          <w:sz w:val="24"/>
          <w:szCs w:val="24"/>
          <w:shd w:val="clear" w:color="auto" w:fill="FFFFFF"/>
        </w:rPr>
        <w:t>iz</w:t>
      </w:r>
      <w:r w:rsidR="007C7CC3">
        <w:rPr>
          <w:rFonts w:ascii="Times New Roman" w:hAnsi="Times New Roman" w:cs="Times New Roman"/>
          <w:sz w:val="24"/>
          <w:szCs w:val="24"/>
          <w:shd w:val="clear" w:color="auto" w:fill="FFFFFF"/>
        </w:rPr>
        <w:t>vērtējumu.</w:t>
      </w:r>
    </w:p>
    <w:p w14:paraId="5D46E4D3" w14:textId="09749A3A" w:rsidR="0030101D" w:rsidRPr="006913F3" w:rsidRDefault="00F756A8" w:rsidP="00F756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Š</w:t>
      </w:r>
      <w:r w:rsidR="00DC243F" w:rsidRPr="006913F3">
        <w:rPr>
          <w:rFonts w:ascii="Times New Roman" w:hAnsi="Times New Roman" w:cs="Times New Roman"/>
          <w:sz w:val="24"/>
          <w:szCs w:val="24"/>
        </w:rPr>
        <w:t xml:space="preserve">ādi </w:t>
      </w:r>
      <w:r w:rsidR="007B1389" w:rsidRPr="006913F3">
        <w:rPr>
          <w:rFonts w:ascii="Times New Roman" w:hAnsi="Times New Roman" w:cs="Times New Roman"/>
          <w:sz w:val="24"/>
          <w:szCs w:val="24"/>
        </w:rPr>
        <w:t>rezultatīvie rādītāji</w:t>
      </w:r>
      <w:r w:rsidR="00DC243F" w:rsidRPr="006913F3">
        <w:rPr>
          <w:rFonts w:ascii="Times New Roman" w:hAnsi="Times New Roman" w:cs="Times New Roman"/>
          <w:sz w:val="24"/>
          <w:szCs w:val="24"/>
        </w:rPr>
        <w:t xml:space="preserve"> ir esošajā zinātnes bāzes finansējuma formulā</w:t>
      </w:r>
      <w:r w:rsidR="00292FE6">
        <w:rPr>
          <w:rFonts w:ascii="Times New Roman" w:hAnsi="Times New Roman" w:cs="Times New Roman"/>
          <w:sz w:val="24"/>
          <w:szCs w:val="24"/>
        </w:rPr>
        <w:t>, kas noteikta MK noteikumos Nr.1316</w:t>
      </w:r>
      <w:r w:rsidR="00DC243F" w:rsidRPr="006913F3">
        <w:rPr>
          <w:rFonts w:ascii="Times New Roman" w:hAnsi="Times New Roman" w:cs="Times New Roman"/>
          <w:sz w:val="24"/>
          <w:szCs w:val="24"/>
        </w:rPr>
        <w:t>:</w:t>
      </w:r>
    </w:p>
    <w:p w14:paraId="7D595877" w14:textId="3D383981" w:rsidR="0030101D" w:rsidRPr="006913F3" w:rsidRDefault="00292FE6" w:rsidP="00F756A8">
      <w:pPr>
        <w:pStyle w:val="tv213"/>
        <w:shd w:val="clear" w:color="auto" w:fill="FFFFFF"/>
        <w:spacing w:before="0" w:beforeAutospacing="0" w:after="0" w:afterAutospacing="0"/>
        <w:ind w:firstLine="709"/>
        <w:jc w:val="both"/>
        <w:rPr>
          <w:i/>
          <w:lang w:val="lv-LV"/>
        </w:rPr>
      </w:pPr>
      <w:r>
        <w:t>“</w:t>
      </w:r>
      <w:hyperlink r:id="rId24" w:anchor="p10.1" w:history="1">
        <w:r w:rsidR="0030101D" w:rsidRPr="00292FE6">
          <w:rPr>
            <w:rStyle w:val="Hyperlink"/>
            <w:i/>
            <w:color w:val="auto"/>
            <w:u w:val="none"/>
            <w:lang w:val="lv-LV"/>
          </w:rPr>
          <w:t>10.1</w:t>
        </w:r>
      </w:hyperlink>
      <w:r w:rsidR="0030101D" w:rsidRPr="00292FE6">
        <w:rPr>
          <w:i/>
          <w:lang w:val="lv-LV"/>
        </w:rPr>
        <w:t>.</w:t>
      </w:r>
      <w:r w:rsidR="0030101D" w:rsidRPr="006913F3">
        <w:rPr>
          <w:i/>
          <w:lang w:val="lv-LV"/>
        </w:rPr>
        <w:t xml:space="preserve"> iepriekšējā finansēšanas periodā zinātnē nodarbinātie darbinieki un zinātnē nodarbināto darbinieku skaits pilna darba laika ekvivalenta izteiksmē atbilstoši šo noteikumu </w:t>
      </w:r>
      <w:hyperlink r:id="rId25" w:anchor="p3" w:history="1">
        <w:r w:rsidR="0030101D" w:rsidRPr="006913F3">
          <w:rPr>
            <w:rStyle w:val="Hyperlink"/>
            <w:i/>
            <w:color w:val="auto"/>
            <w:lang w:val="lv-LV"/>
          </w:rPr>
          <w:t>3.punktam</w:t>
        </w:r>
      </w:hyperlink>
      <w:r w:rsidR="0030101D" w:rsidRPr="006913F3">
        <w:rPr>
          <w:i/>
          <w:lang w:val="lv-LV"/>
        </w:rPr>
        <w:t>;</w:t>
      </w:r>
    </w:p>
    <w:p w14:paraId="67A3B5C1" w14:textId="585071C4"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10.2. iepriekšējā finansēšanas periodā īstenoto Eiropas Savienības Ietvara programmas pētniecības un attīstības projektu (atbilstoši Ekonomiskās sadarbības un attīstības organizācijas (OECD) publicētajā zinātnes statistikas metodoloģijas krājumā </w:t>
      </w:r>
      <w:r w:rsidRPr="006913F3">
        <w:rPr>
          <w:i/>
          <w:iCs/>
          <w:lang w:val="lv-LV"/>
        </w:rPr>
        <w:t>Frascati Manual</w:t>
      </w:r>
      <w:r w:rsidRPr="006913F3">
        <w:rPr>
          <w:i/>
          <w:lang w:val="lv-LV"/>
        </w:rPr>
        <w:t> sniegtajai definīcijai (turpmāk – </w:t>
      </w:r>
      <w:r w:rsidRPr="006913F3">
        <w:rPr>
          <w:i/>
          <w:iCs/>
          <w:lang w:val="lv-LV"/>
        </w:rPr>
        <w:t>Frascati Manual</w:t>
      </w:r>
      <w:r w:rsidRPr="006913F3">
        <w:rPr>
          <w:i/>
          <w:lang w:val="lv-LV"/>
        </w:rPr>
        <w:t>)) un citu starptautisku pētniecības un attīstības pētījumu projektu nosaukumi un finansējums, ko zinātniskā institūcija šiem projektiem ieguvusi konkursos, kā arī finansējums, ko zinātniskā institūcija ieguvusi starptautiskiem pētniecī</w:t>
      </w:r>
      <w:r w:rsidR="00A340EF">
        <w:rPr>
          <w:i/>
          <w:lang w:val="lv-LV"/>
        </w:rPr>
        <w:t>bas un attīstības līgumdarbiem;</w:t>
      </w:r>
    </w:p>
    <w:p w14:paraId="0E8095F1" w14:textId="4A0BC7AA"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10.3. iepriekšējā finansēšanas periodā īstenoto no Latvijas valsts budžeta finansēto, konkursa kārtībā iegūto pētniecības un attīstības projektu (atbilstoši </w:t>
      </w:r>
      <w:r w:rsidRPr="006913F3">
        <w:rPr>
          <w:i/>
          <w:iCs/>
          <w:lang w:val="lv-LV"/>
        </w:rPr>
        <w:t>Frascati Manual</w:t>
      </w:r>
      <w:r w:rsidRPr="006913F3">
        <w:rPr>
          <w:i/>
          <w:lang w:val="lv-LV"/>
        </w:rPr>
        <w:t>) nosaukumi un zinātniskās institūci</w:t>
      </w:r>
      <w:r w:rsidR="00A340EF">
        <w:rPr>
          <w:i/>
          <w:lang w:val="lv-LV"/>
        </w:rPr>
        <w:t>jas iegūtais finansējums;</w:t>
      </w:r>
    </w:p>
    <w:p w14:paraId="22E4E7BC" w14:textId="77777777"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10.4. iepriekšējā finansēšanas periodā īstenoto pētniecības un attīstības līgumdarbu (atbilstoši </w:t>
      </w:r>
      <w:r w:rsidRPr="006913F3">
        <w:rPr>
          <w:i/>
          <w:iCs/>
          <w:lang w:val="lv-LV"/>
        </w:rPr>
        <w:t>Frascati Manual</w:t>
      </w:r>
      <w:r w:rsidRPr="006913F3">
        <w:rPr>
          <w:i/>
          <w:lang w:val="lv-LV"/>
        </w:rPr>
        <w:t>) nosaukumi, līguma priekšmeti un zinātniskās institūcijas iegūtais finansējums, tai skaitā pētniecības un attīstības līgumdarbi ar komersantiem, publiskām personām (piemēram, valsts, pašvaldība, valsts augstskola, valsts zinātniskais institūts) un citiem pasūtītājiem (piemēram, fiziska persona, biedrība, nodibinājums) un ieņēmumi no izgudrojumu, patentu vai reģistrēto augu šķirņu un reģistrēto meža reproduktīvā materiāla avotu (turpmāk – intelektuālais īpašums) tiesību nodošanas;</w:t>
      </w:r>
    </w:p>
    <w:p w14:paraId="376F6096" w14:textId="6328838E"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10.5. zinātniskā personāla iepriekšējos trijos finansēšanas periodos </w:t>
      </w:r>
      <w:r w:rsidRPr="006913F3">
        <w:rPr>
          <w:i/>
          <w:iCs/>
          <w:lang w:val="lv-LV"/>
        </w:rPr>
        <w:t>Web of Science vai SCOPUS</w:t>
      </w:r>
      <w:r w:rsidRPr="006913F3">
        <w:rPr>
          <w:i/>
          <w:lang w:val="lv-LV"/>
        </w:rPr>
        <w:t> datubāzēs iekļautajos izdevumos publicētie oriģinālie zinātniskie raksti, zinātniskā personāla publicētās recenzētās zinātniskās monogrāfijas, ārvalstīs spēkā uzturētais vai reģistrētais intelektuālais īpašums. Izglītības un zinātnes ministrija nodrošina zinātniskajām institūcijām bezmaksas pieeju minētajām datubāzēm;</w:t>
      </w:r>
    </w:p>
    <w:p w14:paraId="46D926FE" w14:textId="0BEB715D"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10.6. zinātniskā personāla iepriekšējos trijos finansēšanas periodos starptautiskajās datubāzēs iekļautajos izdevumos publicētie oriģinālie zinātniskie raksti, kas nav minēti šo noteikumu 10.5.apakšpunktā, un Latvijā spēkā uzturētais vai reģis</w:t>
      </w:r>
      <w:r w:rsidR="00A340EF">
        <w:rPr>
          <w:i/>
          <w:lang w:val="lv-LV"/>
        </w:rPr>
        <w:t>trētais intelektuālais īpašums;</w:t>
      </w:r>
    </w:p>
    <w:p w14:paraId="13B9C993" w14:textId="646735B6"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10.7. iepriekšējā finansēšanas periodā zinātniskā personāla izstrādātie un noteiktā kārtīb</w:t>
      </w:r>
      <w:r w:rsidR="00A340EF">
        <w:rPr>
          <w:i/>
          <w:lang w:val="lv-LV"/>
        </w:rPr>
        <w:t>ā aizstāvētie promocijas darbi;</w:t>
      </w:r>
    </w:p>
    <w:p w14:paraId="2C1D5BD9" w14:textId="6CDA9355" w:rsidR="0030101D" w:rsidRPr="006913F3" w:rsidRDefault="0030101D" w:rsidP="00F756A8">
      <w:pPr>
        <w:pStyle w:val="tv213"/>
        <w:shd w:val="clear" w:color="auto" w:fill="FFFFFF"/>
        <w:spacing w:before="0" w:beforeAutospacing="0" w:after="0" w:afterAutospacing="0"/>
        <w:ind w:firstLine="709"/>
        <w:jc w:val="both"/>
        <w:rPr>
          <w:i/>
          <w:lang w:val="lv-LV"/>
        </w:rPr>
      </w:pPr>
      <w:r w:rsidRPr="006913F3">
        <w:rPr>
          <w:i/>
          <w:lang w:val="lv-LV"/>
        </w:rPr>
        <w:t>10.8. iepriekšējā finansēšanas periodā zinātnē nodarbināto darbinieku izstrādātie un noteiktā kārtībā aizstāvētie maģistra darbi.</w:t>
      </w:r>
      <w:r w:rsidR="00292FE6">
        <w:rPr>
          <w:i/>
          <w:lang w:val="lv-LV"/>
        </w:rPr>
        <w:t>”</w:t>
      </w:r>
    </w:p>
    <w:p w14:paraId="5B22FCC9" w14:textId="77777777" w:rsidR="00DC243F" w:rsidRPr="006913F3" w:rsidRDefault="00DC243F" w:rsidP="00F756A8">
      <w:pPr>
        <w:pStyle w:val="tv213"/>
        <w:shd w:val="clear" w:color="auto" w:fill="FFFFFF"/>
        <w:spacing w:before="0" w:beforeAutospacing="0" w:after="0" w:afterAutospacing="0"/>
        <w:ind w:firstLine="709"/>
        <w:jc w:val="both"/>
        <w:rPr>
          <w:i/>
          <w:lang w:val="lv-LV"/>
        </w:rPr>
      </w:pPr>
    </w:p>
    <w:p w14:paraId="57D17C66" w14:textId="24332C37" w:rsidR="009C5A0D" w:rsidRPr="006913F3" w:rsidRDefault="007B1389" w:rsidP="00F756A8">
      <w:pPr>
        <w:pStyle w:val="tv213"/>
        <w:shd w:val="clear" w:color="auto" w:fill="FFFFFF"/>
        <w:spacing w:before="0" w:beforeAutospacing="0" w:after="0" w:afterAutospacing="0"/>
        <w:ind w:firstLine="709"/>
        <w:jc w:val="both"/>
        <w:rPr>
          <w:lang w:val="lv-LV"/>
        </w:rPr>
      </w:pPr>
      <w:r w:rsidRPr="006913F3">
        <w:rPr>
          <w:lang w:val="lv-LV"/>
        </w:rPr>
        <w:t>Ministrija jaunajā zinātnes bāzes</w:t>
      </w:r>
      <w:r w:rsidR="009C5A0D" w:rsidRPr="006913F3">
        <w:rPr>
          <w:lang w:val="lv-LV"/>
        </w:rPr>
        <w:t xml:space="preserve"> finansējuma</w:t>
      </w:r>
      <w:r w:rsidRPr="006913F3">
        <w:rPr>
          <w:lang w:val="lv-LV"/>
        </w:rPr>
        <w:t xml:space="preserve"> aprēķina</w:t>
      </w:r>
      <w:r w:rsidR="009C5A0D" w:rsidRPr="006913F3">
        <w:rPr>
          <w:lang w:val="lv-LV"/>
        </w:rPr>
        <w:t xml:space="preserve"> formulā </w:t>
      </w:r>
      <w:r w:rsidRPr="006913F3">
        <w:rPr>
          <w:lang w:val="lv-LV"/>
        </w:rPr>
        <w:t>piedāvā šādus kritērijus</w:t>
      </w:r>
      <w:r w:rsidR="00F756A8">
        <w:rPr>
          <w:lang w:val="lv-LV"/>
        </w:rPr>
        <w:t xml:space="preserve"> (3 pīlāru modeli)</w:t>
      </w:r>
      <w:r w:rsidR="009C5A0D" w:rsidRPr="006913F3">
        <w:rPr>
          <w:lang w:val="lv-LV"/>
        </w:rPr>
        <w:t>:</w:t>
      </w:r>
    </w:p>
    <w:p w14:paraId="00A0341F" w14:textId="78228420" w:rsidR="009C5A0D" w:rsidRPr="006913F3" w:rsidRDefault="009C5A0D" w:rsidP="00F756A8">
      <w:pPr>
        <w:pStyle w:val="tv213"/>
        <w:shd w:val="clear" w:color="auto" w:fill="FFFFFF"/>
        <w:spacing w:before="0" w:beforeAutospacing="0" w:after="0" w:afterAutospacing="0"/>
        <w:ind w:firstLine="709"/>
        <w:jc w:val="both"/>
        <w:rPr>
          <w:i/>
          <w:lang w:val="lv-LV"/>
        </w:rPr>
      </w:pPr>
      <w:r w:rsidRPr="006913F3">
        <w:rPr>
          <w:i/>
          <w:lang w:val="lv-LV"/>
        </w:rPr>
        <w:t>1) iepriekšējos 3  finansēšanas periodos</w:t>
      </w:r>
      <w:r w:rsidR="00AF66B6">
        <w:rPr>
          <w:i/>
          <w:lang w:val="lv-LV"/>
        </w:rPr>
        <w:t xml:space="preserve"> zinātniskājā insitūcijā</w:t>
      </w:r>
      <w:r w:rsidRPr="006913F3">
        <w:rPr>
          <w:i/>
          <w:lang w:val="lv-LV"/>
        </w:rPr>
        <w:t xml:space="preserve"> zinātnē nodarbinātajiem darb</w:t>
      </w:r>
      <w:r w:rsidR="00CF38AA">
        <w:rPr>
          <w:i/>
          <w:lang w:val="lv-LV"/>
        </w:rPr>
        <w:t xml:space="preserve">iniekiem izmaksātais atalgojums: </w:t>
      </w:r>
      <w:r w:rsidR="007B1389" w:rsidRPr="006913F3">
        <w:rPr>
          <w:b/>
          <w:lang w:val="lv-LV"/>
        </w:rPr>
        <w:t>45</w:t>
      </w:r>
      <w:r w:rsidRPr="006913F3">
        <w:rPr>
          <w:b/>
          <w:lang w:val="lv-LV"/>
        </w:rPr>
        <w:t xml:space="preserve"> % no zinātnes bāzes finansējuma apmēra</w:t>
      </w:r>
      <w:r w:rsidR="00CF38AA">
        <w:rPr>
          <w:b/>
          <w:lang w:val="lv-LV"/>
        </w:rPr>
        <w:t>;</w:t>
      </w:r>
    </w:p>
    <w:p w14:paraId="392CDEC6" w14:textId="6743E351" w:rsidR="009C5A0D" w:rsidRPr="006913F3" w:rsidRDefault="009C5A0D" w:rsidP="00F756A8">
      <w:pPr>
        <w:pStyle w:val="tv213"/>
        <w:shd w:val="clear" w:color="auto" w:fill="FFFFFF"/>
        <w:spacing w:before="0" w:beforeAutospacing="0" w:after="0" w:afterAutospacing="0"/>
        <w:ind w:firstLine="709"/>
        <w:jc w:val="both"/>
        <w:rPr>
          <w:i/>
          <w:lang w:val="lv-LV"/>
        </w:rPr>
      </w:pPr>
      <w:r w:rsidRPr="006913F3">
        <w:rPr>
          <w:i/>
          <w:lang w:val="lv-LV"/>
        </w:rPr>
        <w:t>2) iepriekšējos 3 finansēšanas periodos īstenoto Eiropas Savienības Ietvara programmas pētniecības un attīstības projektu (atbilstoši Ekonomiskās sadarbības un attīstības organizācijas (OECD) publicētajā zinātnes statistikas metodoloģijas krājumā </w:t>
      </w:r>
      <w:r w:rsidRPr="006913F3">
        <w:rPr>
          <w:i/>
          <w:iCs/>
          <w:lang w:val="lv-LV"/>
        </w:rPr>
        <w:t>Frascati Manual</w:t>
      </w:r>
      <w:r w:rsidRPr="006913F3">
        <w:rPr>
          <w:i/>
          <w:lang w:val="lv-LV"/>
        </w:rPr>
        <w:t> sniegtajai definīcijai un citu starptautisku pētniecības un attīstības pētījumu projektu nosaukumi un finansējums, ko zinātniskā institūcija šiem projektiem ieguvusi konkursos, kā arī finansējums, ko zinātniskā institūcija ieguvusi starptautiskiem pētniec</w:t>
      </w:r>
      <w:r w:rsidR="00CF38AA">
        <w:rPr>
          <w:i/>
          <w:lang w:val="lv-LV"/>
        </w:rPr>
        <w:t>ības un attīstības līgumdarbiem:</w:t>
      </w:r>
      <w:r w:rsidRPr="006913F3">
        <w:rPr>
          <w:b/>
          <w:lang w:val="lv-LV"/>
        </w:rPr>
        <w:t>10 % no zinātnes bāzes finansējuma apmēra</w:t>
      </w:r>
      <w:r w:rsidR="00CF38AA">
        <w:rPr>
          <w:b/>
          <w:lang w:val="lv-LV"/>
        </w:rPr>
        <w:t>;</w:t>
      </w:r>
    </w:p>
    <w:p w14:paraId="2F494C32" w14:textId="6F2D1983" w:rsidR="009C5A0D" w:rsidRPr="006913F3" w:rsidRDefault="009C5A0D" w:rsidP="00F756A8">
      <w:pPr>
        <w:pStyle w:val="tv213"/>
        <w:shd w:val="clear" w:color="auto" w:fill="FFFFFF"/>
        <w:spacing w:before="0" w:beforeAutospacing="0" w:after="0" w:afterAutospacing="0"/>
        <w:ind w:firstLine="709"/>
        <w:jc w:val="both"/>
        <w:rPr>
          <w:i/>
          <w:lang w:val="lv-LV"/>
        </w:rPr>
      </w:pPr>
      <w:r w:rsidRPr="006913F3">
        <w:rPr>
          <w:i/>
          <w:lang w:val="lv-LV"/>
        </w:rPr>
        <w:lastRenderedPageBreak/>
        <w:t>3) iepriekšējos 3 periodos finansēšanas periodā īstenoto no Latvijas valsts budžeta finansēto, konkursa kārtībā iegūto pētniecības un attīstības projektu (atbilstoši </w:t>
      </w:r>
      <w:r w:rsidRPr="006913F3">
        <w:rPr>
          <w:i/>
          <w:iCs/>
          <w:lang w:val="lv-LV"/>
        </w:rPr>
        <w:t>Frascati Manual</w:t>
      </w:r>
      <w:r w:rsidRPr="006913F3">
        <w:rPr>
          <w:i/>
          <w:lang w:val="lv-LV"/>
        </w:rPr>
        <w:t>) nosaukumi un zinātniskās ins</w:t>
      </w:r>
      <w:r w:rsidR="00CF38AA">
        <w:rPr>
          <w:i/>
          <w:lang w:val="lv-LV"/>
        </w:rPr>
        <w:t xml:space="preserve">titūcijas iegūtais finansējums: </w:t>
      </w:r>
      <w:r w:rsidRPr="006913F3">
        <w:rPr>
          <w:b/>
          <w:lang w:val="lv-LV"/>
        </w:rPr>
        <w:t>5 % no zinātnes bāzes finansējuma apmēra</w:t>
      </w:r>
      <w:r w:rsidR="00CF38AA">
        <w:rPr>
          <w:b/>
          <w:lang w:val="lv-LV"/>
        </w:rPr>
        <w:t>;</w:t>
      </w:r>
    </w:p>
    <w:p w14:paraId="68D05488" w14:textId="3038BC43" w:rsidR="009C5A0D" w:rsidRPr="006913F3" w:rsidRDefault="009C5A0D" w:rsidP="00F756A8">
      <w:pPr>
        <w:pStyle w:val="tv213"/>
        <w:shd w:val="clear" w:color="auto" w:fill="FFFFFF"/>
        <w:spacing w:before="0" w:beforeAutospacing="0" w:after="0" w:afterAutospacing="0"/>
        <w:ind w:firstLine="709"/>
        <w:jc w:val="both"/>
        <w:rPr>
          <w:i/>
          <w:lang w:val="lv-LV"/>
        </w:rPr>
      </w:pPr>
      <w:r w:rsidRPr="006913F3">
        <w:rPr>
          <w:i/>
          <w:lang w:val="lv-LV"/>
        </w:rPr>
        <w:t>4) iepriekšējos 3 periodos finansēšanas periodā īstenoto pētniecības un attīstības līgumdarbu (atbilstoši </w:t>
      </w:r>
      <w:r w:rsidRPr="006913F3">
        <w:rPr>
          <w:i/>
          <w:iCs/>
          <w:lang w:val="lv-LV"/>
        </w:rPr>
        <w:t>Frascati Manual</w:t>
      </w:r>
      <w:r w:rsidRPr="006913F3">
        <w:rPr>
          <w:i/>
          <w:lang w:val="lv-LV"/>
        </w:rPr>
        <w:t>) nosaukumi, līguma priekšmeti un zinātniskās institūcijas iegūtais finansējums, tai skaitā pētniecības un attīstības līgumdarbi ar komersantiem, publiskām personām (piemēram, valsts, pašvaldība, valsts augstskola, valsts zinātniskais institūts) un citiem pasūtītājiem (piemēram, fiziska persona, biedrība, nodibinājums) un ieņēmumi no izgudrojumu, patentu vai reģistrēto augu šķirņu un reģistrēto meža reproduktīvā materiāla avotu (turpmāk – intelektuāl</w:t>
      </w:r>
      <w:r w:rsidR="00CF38AA">
        <w:rPr>
          <w:i/>
          <w:lang w:val="lv-LV"/>
        </w:rPr>
        <w:t xml:space="preserve">ais īpašums) tiesību nodošanas: </w:t>
      </w:r>
      <w:r w:rsidRPr="006913F3">
        <w:rPr>
          <w:b/>
          <w:lang w:val="lv-LV"/>
        </w:rPr>
        <w:t>10 % no zinātnes bāzes finansējuma apmēra</w:t>
      </w:r>
      <w:r w:rsidR="00CF38AA">
        <w:rPr>
          <w:b/>
          <w:lang w:val="lv-LV"/>
        </w:rPr>
        <w:t>;</w:t>
      </w:r>
    </w:p>
    <w:p w14:paraId="0093BE82" w14:textId="0B9B31FB" w:rsidR="009C5A0D" w:rsidRPr="006913F3" w:rsidRDefault="009C5A0D" w:rsidP="00F756A8">
      <w:pPr>
        <w:pStyle w:val="tv213"/>
        <w:shd w:val="clear" w:color="auto" w:fill="FFFFFF"/>
        <w:spacing w:before="0" w:beforeAutospacing="0" w:after="0" w:afterAutospacing="0"/>
        <w:ind w:firstLine="709"/>
        <w:jc w:val="both"/>
        <w:rPr>
          <w:i/>
          <w:lang w:val="lv-LV"/>
        </w:rPr>
      </w:pPr>
      <w:r w:rsidRPr="006913F3">
        <w:rPr>
          <w:i/>
          <w:lang w:val="lv-LV"/>
        </w:rPr>
        <w:t xml:space="preserve">5)  iepriekšējos 3 finansēšanas periodos zinātniskās institūcijas zinātniskās publikācijas, kurām ir noteikts, ka tām publikācijām, kuras ir iekļautas </w:t>
      </w:r>
      <w:r w:rsidRPr="006913F3">
        <w:rPr>
          <w:i/>
          <w:iCs/>
          <w:lang w:val="lv-LV"/>
        </w:rPr>
        <w:t>Web of Science vai SCOPUS</w:t>
      </w:r>
      <w:r w:rsidRPr="006913F3">
        <w:rPr>
          <w:i/>
          <w:lang w:val="lv-LV"/>
        </w:rPr>
        <w:t xml:space="preserve">, un, kuras ir publiētas Q1 žurnālos, kā arī publiski rezencētām zinātniskajām monogrāfijām tiek piemērots koeficients – 3, pārējām </w:t>
      </w:r>
      <w:r w:rsidRPr="006913F3">
        <w:rPr>
          <w:i/>
          <w:iCs/>
          <w:lang w:val="lv-LV"/>
        </w:rPr>
        <w:t>Web of Science vai SCOPUS</w:t>
      </w:r>
      <w:r w:rsidRPr="006913F3">
        <w:rPr>
          <w:i/>
          <w:lang w:val="lv-LV"/>
        </w:rPr>
        <w:t xml:space="preserve"> datubāzēs publicētajām zinātniskajām publikācijām tiek piemērots koeficients - 1, citām starptautisko datubāžu iekļautajos izdevumos publicētajiem oriģināliem zinātniskajiem rakstiem – </w:t>
      </w:r>
      <w:r w:rsidR="00CF38AA">
        <w:rPr>
          <w:i/>
          <w:lang w:val="lv-LV"/>
        </w:rPr>
        <w:t xml:space="preserve">tiek piemērots koeficients 0,5: </w:t>
      </w:r>
      <w:r w:rsidR="007B1389" w:rsidRPr="006913F3">
        <w:rPr>
          <w:b/>
          <w:lang w:val="lv-LV"/>
        </w:rPr>
        <w:t>5</w:t>
      </w:r>
      <w:r w:rsidRPr="006913F3">
        <w:rPr>
          <w:b/>
          <w:lang w:val="lv-LV"/>
        </w:rPr>
        <w:t xml:space="preserve"> % no zinātnes bāzes finansējuma apmēra</w:t>
      </w:r>
      <w:r w:rsidR="00CF38AA">
        <w:rPr>
          <w:b/>
          <w:lang w:val="lv-LV"/>
        </w:rPr>
        <w:t>;</w:t>
      </w:r>
    </w:p>
    <w:p w14:paraId="6656440A" w14:textId="5BD92347" w:rsidR="00413386" w:rsidRPr="00A340EF" w:rsidRDefault="00CF38AA" w:rsidP="00F756A8">
      <w:pPr>
        <w:pStyle w:val="tv213"/>
        <w:shd w:val="clear" w:color="auto" w:fill="FFFFFF"/>
        <w:spacing w:before="0" w:beforeAutospacing="0" w:after="0" w:afterAutospacing="0"/>
        <w:ind w:firstLine="709"/>
        <w:jc w:val="both"/>
        <w:rPr>
          <w:i/>
          <w:lang w:val="lv-LV"/>
        </w:rPr>
      </w:pPr>
      <w:r>
        <w:rPr>
          <w:i/>
          <w:lang w:val="lv-LV"/>
        </w:rPr>
        <w:t>6)</w:t>
      </w:r>
      <w:r w:rsidR="00413386" w:rsidRPr="006913F3">
        <w:rPr>
          <w:i/>
          <w:lang w:val="lv-LV"/>
        </w:rPr>
        <w:t xml:space="preserve"> iepriekšējos 3</w:t>
      </w:r>
      <w:r w:rsidR="009C5A0D" w:rsidRPr="006913F3">
        <w:rPr>
          <w:i/>
          <w:lang w:val="lv-LV"/>
        </w:rPr>
        <w:t xml:space="preserve"> finansēšanas periodā zinātniskā personāla izstrādātie un noteiktā kārtī</w:t>
      </w:r>
      <w:r w:rsidR="00413386" w:rsidRPr="006913F3">
        <w:rPr>
          <w:i/>
          <w:lang w:val="lv-LV"/>
        </w:rPr>
        <w:t>bā aizstāvētie promocijas darbi ar koeficientu 3, maģistra darbi ar koeficientu 1.</w:t>
      </w:r>
      <w:r>
        <w:rPr>
          <w:i/>
          <w:lang w:val="lv-LV"/>
        </w:rPr>
        <w:t xml:space="preserve">: </w:t>
      </w:r>
      <w:r w:rsidR="00413386" w:rsidRPr="006913F3">
        <w:rPr>
          <w:b/>
          <w:lang w:val="lv-LV"/>
        </w:rPr>
        <w:t>5 % no zinātnes bāzes finansējuma apmēra</w:t>
      </w:r>
      <w:r>
        <w:rPr>
          <w:b/>
          <w:lang w:val="lv-LV"/>
        </w:rPr>
        <w:t>;</w:t>
      </w:r>
    </w:p>
    <w:p w14:paraId="0AA3EC83" w14:textId="3E94DCE4" w:rsidR="00413386" w:rsidRPr="006913F3" w:rsidRDefault="00CF38AA" w:rsidP="00F756A8">
      <w:pPr>
        <w:pStyle w:val="tv213"/>
        <w:shd w:val="clear" w:color="auto" w:fill="FFFFFF"/>
        <w:spacing w:before="0" w:beforeAutospacing="0" w:after="0" w:afterAutospacing="0"/>
        <w:ind w:firstLine="709"/>
        <w:jc w:val="both"/>
        <w:rPr>
          <w:i/>
          <w:lang w:val="lv-LV"/>
        </w:rPr>
      </w:pPr>
      <w:r>
        <w:rPr>
          <w:i/>
          <w:lang w:val="lv-LV"/>
        </w:rPr>
        <w:t>7) a</w:t>
      </w:r>
      <w:r w:rsidR="007B1389" w:rsidRPr="006913F3">
        <w:rPr>
          <w:i/>
          <w:lang w:val="lv-LV"/>
        </w:rPr>
        <w:t xml:space="preserve">ttīstības </w:t>
      </w:r>
      <w:r w:rsidR="00413386" w:rsidRPr="006913F3">
        <w:rPr>
          <w:i/>
          <w:lang w:val="lv-LV"/>
        </w:rPr>
        <w:t>finansējums,</w:t>
      </w:r>
      <w:r w:rsidR="007B1389" w:rsidRPr="006913F3">
        <w:rPr>
          <w:i/>
          <w:lang w:val="lv-LV"/>
        </w:rPr>
        <w:t xml:space="preserve"> kas ietver </w:t>
      </w:r>
      <w:r w:rsidR="00446C0A" w:rsidRPr="006913F3">
        <w:rPr>
          <w:i/>
          <w:lang w:val="lv-LV"/>
        </w:rPr>
        <w:t>izcilības</w:t>
      </w:r>
      <w:r w:rsidR="007B1389" w:rsidRPr="006913F3">
        <w:rPr>
          <w:i/>
          <w:lang w:val="lv-LV"/>
        </w:rPr>
        <w:t xml:space="preserve"> komponenti,</w:t>
      </w:r>
      <w:r w:rsidR="00413386" w:rsidRPr="006913F3">
        <w:rPr>
          <w:i/>
          <w:lang w:val="lv-LV"/>
        </w:rPr>
        <w:t xml:space="preserve"> balstoties uz </w:t>
      </w:r>
      <w:r w:rsidR="00AF66B6" w:rsidRPr="00CF38AA">
        <w:t xml:space="preserve">zinātnisko institūciju darbības </w:t>
      </w:r>
      <w:r w:rsidR="00413386" w:rsidRPr="006913F3">
        <w:rPr>
          <w:i/>
          <w:lang w:val="lv-LV"/>
        </w:rPr>
        <w:t xml:space="preserve">starptautiskā </w:t>
      </w:r>
      <w:r w:rsidR="00B87FAB">
        <w:rPr>
          <w:i/>
          <w:lang w:val="lv-LV"/>
        </w:rPr>
        <w:t>iz</w:t>
      </w:r>
      <w:r w:rsidR="00292FE6">
        <w:rPr>
          <w:i/>
          <w:lang w:val="lv-LV"/>
        </w:rPr>
        <w:t>vērtējuma</w:t>
      </w:r>
      <w:r w:rsidR="00413386" w:rsidRPr="006913F3">
        <w:rPr>
          <w:i/>
          <w:lang w:val="lv-LV"/>
        </w:rPr>
        <w:t xml:space="preserve"> rezultātiem pēc 4 vai 5 saņemtajiem vērtējumiem</w:t>
      </w:r>
      <w:r w:rsidR="007B1389" w:rsidRPr="006913F3">
        <w:rPr>
          <w:i/>
          <w:lang w:val="lv-LV"/>
        </w:rPr>
        <w:t xml:space="preserve">, finansējumu zinātniskās infrastruktūras uzturēšanai un </w:t>
      </w:r>
      <w:r w:rsidR="00266386" w:rsidRPr="006913F3">
        <w:rPr>
          <w:i/>
          <w:lang w:val="lv-LV"/>
        </w:rPr>
        <w:t xml:space="preserve">finansējumu nacionālo prioritāšu </w:t>
      </w:r>
      <w:r w:rsidR="00446C0A" w:rsidRPr="006913F3">
        <w:rPr>
          <w:i/>
          <w:lang w:val="lv-LV"/>
        </w:rPr>
        <w:t>īstenošanai</w:t>
      </w:r>
      <w:r w:rsidR="00B87FAB">
        <w:rPr>
          <w:b/>
          <w:lang w:val="lv-LV"/>
        </w:rPr>
        <w:t>:</w:t>
      </w:r>
      <w:r w:rsidR="007B1389" w:rsidRPr="006913F3">
        <w:rPr>
          <w:b/>
          <w:lang w:val="lv-LV"/>
        </w:rPr>
        <w:t>20</w:t>
      </w:r>
      <w:r w:rsidR="00413386" w:rsidRPr="006913F3">
        <w:rPr>
          <w:b/>
          <w:lang w:val="lv-LV"/>
        </w:rPr>
        <w:t xml:space="preserve"> % no zinātnes bāzes finansējuma apmēra</w:t>
      </w:r>
      <w:r>
        <w:rPr>
          <w:b/>
          <w:lang w:val="lv-LV"/>
        </w:rPr>
        <w:t>.</w:t>
      </w:r>
    </w:p>
    <w:p w14:paraId="00424D81" w14:textId="77777777" w:rsidR="00413386" w:rsidRPr="006913F3" w:rsidRDefault="00413386" w:rsidP="00F756A8">
      <w:pPr>
        <w:pStyle w:val="tv213"/>
        <w:shd w:val="clear" w:color="auto" w:fill="FFFFFF"/>
        <w:spacing w:before="0" w:beforeAutospacing="0" w:after="0" w:afterAutospacing="0"/>
        <w:ind w:firstLine="709"/>
        <w:jc w:val="both"/>
        <w:rPr>
          <w:i/>
          <w:lang w:val="lv-LV"/>
        </w:rPr>
      </w:pPr>
    </w:p>
    <w:p w14:paraId="339FD78B" w14:textId="723F1B64" w:rsidR="0052650E" w:rsidRPr="00B87FAB" w:rsidRDefault="0052650E" w:rsidP="00B87FAB">
      <w:pPr>
        <w:spacing w:after="0" w:line="240" w:lineRule="auto"/>
        <w:rPr>
          <w:rFonts w:ascii="Times New Roman" w:eastAsia="Times New Roman" w:hAnsi="Times New Roman" w:cs="Times New Roman"/>
          <w:i/>
          <w:sz w:val="24"/>
          <w:szCs w:val="24"/>
        </w:rPr>
      </w:pPr>
      <w:r w:rsidRPr="00B87FAB">
        <w:rPr>
          <w:rFonts w:ascii="Times New Roman" w:hAnsi="Times New Roman" w:cs="Times New Roman"/>
          <w:sz w:val="24"/>
          <w:szCs w:val="24"/>
        </w:rPr>
        <w:t>Piedāvājums</w:t>
      </w:r>
      <w:r w:rsidR="00561ED3" w:rsidRPr="00B87FAB">
        <w:rPr>
          <w:rFonts w:ascii="Times New Roman" w:hAnsi="Times New Roman" w:cs="Times New Roman"/>
          <w:sz w:val="24"/>
          <w:szCs w:val="24"/>
        </w:rPr>
        <w:t xml:space="preserve"> </w:t>
      </w:r>
      <w:r w:rsidR="00446C0A" w:rsidRPr="00B87FAB">
        <w:rPr>
          <w:rFonts w:ascii="Times New Roman" w:hAnsi="Times New Roman" w:cs="Times New Roman"/>
          <w:sz w:val="24"/>
          <w:szCs w:val="24"/>
        </w:rPr>
        <w:t>zinātnes</w:t>
      </w:r>
      <w:r w:rsidR="00561ED3" w:rsidRPr="00B87FAB">
        <w:rPr>
          <w:rFonts w:ascii="Times New Roman" w:hAnsi="Times New Roman" w:cs="Times New Roman"/>
          <w:sz w:val="24"/>
          <w:szCs w:val="24"/>
        </w:rPr>
        <w:t xml:space="preserve"> bāzes finansējuma</w:t>
      </w:r>
      <w:r w:rsidRPr="00B87FAB">
        <w:rPr>
          <w:rFonts w:ascii="Times New Roman" w:hAnsi="Times New Roman" w:cs="Times New Roman"/>
          <w:sz w:val="24"/>
          <w:szCs w:val="24"/>
        </w:rPr>
        <w:t xml:space="preserve"> aprēķinu formulai</w:t>
      </w:r>
      <w:r w:rsidR="000B0816" w:rsidRPr="00B87FAB">
        <w:rPr>
          <w:rFonts w:ascii="Times New Roman" w:hAnsi="Times New Roman" w:cs="Times New Roman"/>
          <w:sz w:val="24"/>
          <w:szCs w:val="24"/>
        </w:rPr>
        <w:t>:</w:t>
      </w:r>
    </w:p>
    <w:p w14:paraId="3E61DF7A" w14:textId="77777777" w:rsidR="008F0938" w:rsidRPr="006913F3" w:rsidRDefault="008F0938" w:rsidP="00B87FAB">
      <w:pPr>
        <w:spacing w:after="0" w:line="240" w:lineRule="auto"/>
        <w:jc w:val="both"/>
        <w:rPr>
          <w:rFonts w:ascii="Times New Roman" w:eastAsia="Times New Roman" w:hAnsi="Times New Roman" w:cs="Times New Roman"/>
          <w:b/>
          <w:sz w:val="24"/>
          <w:szCs w:val="24"/>
        </w:rPr>
      </w:pPr>
    </w:p>
    <w:p w14:paraId="0AB8EF8C" w14:textId="43238840" w:rsidR="00D500A3" w:rsidRPr="006913F3" w:rsidRDefault="00067CD0" w:rsidP="00B87FAB">
      <w:pPr>
        <w:spacing w:after="0" w:line="240" w:lineRule="auto"/>
        <w:jc w:val="both"/>
        <w:rPr>
          <w:rFonts w:ascii="Times New Roman" w:eastAsia="Times New Roman" w:hAnsi="Times New Roman" w:cs="Times New Roman"/>
          <w:b/>
          <w:sz w:val="24"/>
          <w:szCs w:val="24"/>
        </w:rPr>
      </w:pPr>
      <m:oMathPara>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Inst</m:t>
              </m:r>
            </m:e>
            <m:sub>
              <m:r>
                <m:rPr>
                  <m:sty m:val="bi"/>
                </m:rPr>
                <w:rPr>
                  <w:rFonts w:ascii="Cambria Math" w:eastAsia="Times New Roman" w:hAnsi="Cambria Math" w:cs="Times New Roman"/>
                  <w:sz w:val="24"/>
                  <w:szCs w:val="24"/>
                </w:rPr>
                <m:t>zbf</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Fin</m:t>
              </m:r>
            </m:e>
            <m:sub>
              <m:r>
                <m:rPr>
                  <m:sty m:val="bi"/>
                </m:rPr>
                <w:rPr>
                  <w:rFonts w:ascii="Cambria Math" w:eastAsia="Times New Roman" w:hAnsi="Cambria Math" w:cs="Times New Roman"/>
                  <w:sz w:val="24"/>
                  <w:szCs w:val="24"/>
                </w:rPr>
                <m:t>progr</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Inst</m:t>
              </m:r>
            </m:e>
            <m:sub>
              <m:r>
                <m:rPr>
                  <m:sty m:val="bi"/>
                </m:rPr>
                <w:rPr>
                  <w:rFonts w:ascii="Cambria Math" w:eastAsia="Times New Roman" w:hAnsi="Cambria Math" w:cs="Times New Roman"/>
                  <w:sz w:val="24"/>
                  <w:szCs w:val="24"/>
                </w:rPr>
                <m:t>proc</m:t>
              </m:r>
            </m:sub>
          </m:sSub>
        </m:oMath>
      </m:oMathPara>
    </w:p>
    <w:p w14:paraId="33A6BDDF" w14:textId="54997B10" w:rsidR="00D500A3" w:rsidRPr="006913F3" w:rsidRDefault="00D500A3"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b/>
          <w:sz w:val="24"/>
          <w:szCs w:val="24"/>
        </w:rPr>
        <w:t>Inst</w:t>
      </w:r>
      <w:r w:rsidRPr="006913F3">
        <w:rPr>
          <w:rFonts w:ascii="Times New Roman" w:eastAsia="Times New Roman" w:hAnsi="Times New Roman" w:cs="Times New Roman"/>
          <w:b/>
          <w:sz w:val="24"/>
          <w:szCs w:val="24"/>
          <w:vertAlign w:val="subscript"/>
        </w:rPr>
        <w:t xml:space="preserve">zbf  </w:t>
      </w:r>
      <w:r w:rsidRPr="006913F3">
        <w:rPr>
          <w:rFonts w:ascii="Times New Roman" w:eastAsia="Times New Roman" w:hAnsi="Times New Roman" w:cs="Times New Roman"/>
          <w:sz w:val="24"/>
          <w:szCs w:val="24"/>
        </w:rPr>
        <w:t xml:space="preserve">– </w:t>
      </w:r>
      <w:r w:rsidR="00BE77E4">
        <w:rPr>
          <w:rFonts w:ascii="Times New Roman" w:eastAsia="Times New Roman" w:hAnsi="Times New Roman" w:cs="Times New Roman"/>
          <w:sz w:val="24"/>
          <w:szCs w:val="24"/>
        </w:rPr>
        <w:t>z</w:t>
      </w:r>
      <w:r w:rsidR="00BE77E4" w:rsidRPr="006913F3">
        <w:rPr>
          <w:rFonts w:ascii="Times New Roman" w:eastAsia="Times New Roman" w:hAnsi="Times New Roman" w:cs="Times New Roman"/>
          <w:sz w:val="24"/>
          <w:szCs w:val="24"/>
        </w:rPr>
        <w:t xml:space="preserve">inātniskajai </w:t>
      </w:r>
      <w:r w:rsidRPr="006913F3">
        <w:rPr>
          <w:rFonts w:ascii="Times New Roman" w:eastAsia="Times New Roman" w:hAnsi="Times New Roman" w:cs="Times New Roman"/>
          <w:sz w:val="24"/>
          <w:szCs w:val="24"/>
        </w:rPr>
        <w:t>institūcijai piešķiramais zinātnes bāzes finansējuma apmērs</w:t>
      </w:r>
      <w:r w:rsidR="00BE77E4">
        <w:rPr>
          <w:rFonts w:ascii="Times New Roman" w:eastAsia="Times New Roman" w:hAnsi="Times New Roman" w:cs="Times New Roman"/>
          <w:sz w:val="24"/>
          <w:szCs w:val="24"/>
        </w:rPr>
        <w:t>;</w:t>
      </w:r>
    </w:p>
    <w:p w14:paraId="60BA2CB1" w14:textId="251052C6" w:rsidR="00D500A3" w:rsidRPr="006913F3" w:rsidRDefault="00D500A3"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b/>
          <w:sz w:val="24"/>
          <w:szCs w:val="24"/>
        </w:rPr>
        <w:t>Fin</w:t>
      </w:r>
      <w:r w:rsidRPr="006913F3">
        <w:rPr>
          <w:rFonts w:ascii="Times New Roman" w:eastAsia="Times New Roman" w:hAnsi="Times New Roman" w:cs="Times New Roman"/>
          <w:b/>
          <w:sz w:val="24"/>
          <w:szCs w:val="24"/>
          <w:vertAlign w:val="subscript"/>
        </w:rPr>
        <w:t xml:space="preserve">progr  </w:t>
      </w:r>
      <w:r w:rsidRPr="006913F3">
        <w:rPr>
          <w:rFonts w:ascii="Times New Roman" w:eastAsia="Times New Roman" w:hAnsi="Times New Roman" w:cs="Times New Roman"/>
          <w:sz w:val="24"/>
          <w:szCs w:val="24"/>
        </w:rPr>
        <w:t xml:space="preserve">– 05.02.00 apakšprogrammā </w:t>
      </w:r>
      <w:r w:rsidR="00F756A8">
        <w:rPr>
          <w:rFonts w:ascii="Times New Roman" w:eastAsia="Times New Roman" w:hAnsi="Times New Roman" w:cs="Times New Roman"/>
          <w:sz w:val="24"/>
          <w:szCs w:val="24"/>
        </w:rPr>
        <w:t>„Zinātnes bāzes finansējums”</w:t>
      </w:r>
      <w:r w:rsidRPr="006913F3">
        <w:rPr>
          <w:rFonts w:ascii="Times New Roman" w:eastAsia="Times New Roman" w:hAnsi="Times New Roman" w:cs="Times New Roman"/>
          <w:sz w:val="24"/>
          <w:szCs w:val="24"/>
        </w:rPr>
        <w:t>pieejamais zinātnes bāzes finansējuma apmērs</w:t>
      </w:r>
      <w:r w:rsidR="00BE77E4">
        <w:rPr>
          <w:rFonts w:ascii="Times New Roman" w:eastAsia="Times New Roman" w:hAnsi="Times New Roman" w:cs="Times New Roman"/>
          <w:sz w:val="24"/>
          <w:szCs w:val="24"/>
        </w:rPr>
        <w:t>;</w:t>
      </w:r>
    </w:p>
    <w:p w14:paraId="34B57606" w14:textId="359C3FDB" w:rsidR="00D500A3" w:rsidRPr="006913F3" w:rsidRDefault="00D500A3"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b/>
          <w:sz w:val="24"/>
          <w:szCs w:val="24"/>
        </w:rPr>
        <w:t>Inst</w:t>
      </w:r>
      <w:r w:rsidRPr="006913F3">
        <w:rPr>
          <w:rFonts w:ascii="Times New Roman" w:eastAsia="Times New Roman" w:hAnsi="Times New Roman" w:cs="Times New Roman"/>
          <w:b/>
          <w:sz w:val="24"/>
          <w:szCs w:val="24"/>
          <w:vertAlign w:val="subscript"/>
        </w:rPr>
        <w:t xml:space="preserve">proc </w:t>
      </w:r>
      <w:r w:rsidRPr="006913F3">
        <w:rPr>
          <w:rFonts w:ascii="Times New Roman" w:eastAsia="Times New Roman" w:hAnsi="Times New Roman" w:cs="Times New Roman"/>
          <w:sz w:val="24"/>
          <w:szCs w:val="24"/>
        </w:rPr>
        <w:t xml:space="preserve">– </w:t>
      </w:r>
      <w:r w:rsidR="00BE77E4">
        <w:rPr>
          <w:rFonts w:ascii="Times New Roman" w:eastAsia="Times New Roman" w:hAnsi="Times New Roman" w:cs="Times New Roman"/>
          <w:sz w:val="24"/>
          <w:szCs w:val="24"/>
        </w:rPr>
        <w:t>z</w:t>
      </w:r>
      <w:r w:rsidR="00BE77E4" w:rsidRPr="006913F3">
        <w:rPr>
          <w:rFonts w:ascii="Times New Roman" w:eastAsia="Times New Roman" w:hAnsi="Times New Roman" w:cs="Times New Roman"/>
          <w:sz w:val="24"/>
          <w:szCs w:val="24"/>
        </w:rPr>
        <w:t xml:space="preserve">inātniskajai </w:t>
      </w:r>
      <w:r w:rsidRPr="006913F3">
        <w:rPr>
          <w:rFonts w:ascii="Times New Roman" w:eastAsia="Times New Roman" w:hAnsi="Times New Roman" w:cs="Times New Roman"/>
          <w:sz w:val="24"/>
          <w:szCs w:val="24"/>
        </w:rPr>
        <w:t>institūcijai piešķiramais zinātnes bāzes finansējuma īpatsvars no kopējā finansējuma apmēra</w:t>
      </w:r>
      <w:r w:rsidR="00BE77E4">
        <w:rPr>
          <w:rFonts w:ascii="Times New Roman" w:eastAsia="Times New Roman" w:hAnsi="Times New Roman" w:cs="Times New Roman"/>
          <w:sz w:val="24"/>
          <w:szCs w:val="24"/>
        </w:rPr>
        <w:t>.</w:t>
      </w:r>
    </w:p>
    <w:p w14:paraId="307D9088" w14:textId="77777777" w:rsidR="00D500A3" w:rsidRPr="006913F3" w:rsidRDefault="00D500A3" w:rsidP="00B87FAB">
      <w:pPr>
        <w:spacing w:after="0" w:line="240" w:lineRule="auto"/>
        <w:jc w:val="both"/>
        <w:rPr>
          <w:rFonts w:ascii="Times New Roman" w:eastAsia="Times New Roman" w:hAnsi="Times New Roman" w:cs="Times New Roman"/>
          <w:sz w:val="24"/>
          <w:szCs w:val="24"/>
        </w:rPr>
      </w:pPr>
    </w:p>
    <w:p w14:paraId="1C4B9686" w14:textId="35A684F8" w:rsidR="00D500A3" w:rsidRPr="006913F3" w:rsidRDefault="00067CD0" w:rsidP="00B87FAB">
      <w:pPr>
        <w:spacing w:after="0" w:line="240" w:lineRule="auto"/>
        <w:jc w:val="both"/>
        <w:rPr>
          <w:rFonts w:ascii="Times New Roman" w:eastAsia="Times New Roman" w:hAnsi="Times New Roman" w:cs="Times New Roman"/>
          <w:sz w:val="18"/>
          <w:szCs w:val="24"/>
        </w:rPr>
      </w:pPr>
      <m:oMath>
        <m:sSub>
          <m:sSubPr>
            <m:ctrlPr>
              <w:rPr>
                <w:rFonts w:ascii="Cambria Math" w:eastAsia="Times New Roman" w:hAnsi="Cambria Math" w:cs="Times New Roman"/>
                <w:b/>
                <w:i/>
                <w:sz w:val="18"/>
                <w:szCs w:val="24"/>
              </w:rPr>
            </m:ctrlPr>
          </m:sSubPr>
          <m:e>
            <m:r>
              <m:rPr>
                <m:sty m:val="bi"/>
              </m:rPr>
              <w:rPr>
                <w:rFonts w:ascii="Cambria Math" w:eastAsia="Times New Roman" w:hAnsi="Cambria Math" w:cs="Times New Roman"/>
                <w:sz w:val="18"/>
                <w:szCs w:val="24"/>
              </w:rPr>
              <m:t>Inst</m:t>
            </m:r>
          </m:e>
          <m:sub>
            <m:r>
              <m:rPr>
                <m:sty m:val="bi"/>
              </m:rPr>
              <w:rPr>
                <w:rFonts w:ascii="Cambria Math" w:eastAsia="Times New Roman" w:hAnsi="Cambria Math" w:cs="Times New Roman"/>
                <w:sz w:val="18"/>
                <w:szCs w:val="24"/>
              </w:rPr>
              <m:t>proc</m:t>
            </m:r>
          </m:sub>
        </m:sSub>
        <m:r>
          <w:rPr>
            <w:rFonts w:ascii="Cambria Math" w:eastAsia="Times New Roman" w:hAnsi="Cambria Math" w:cs="Times New Roman"/>
            <w:sz w:val="18"/>
            <w:szCs w:val="24"/>
          </w:rPr>
          <m:t xml:space="preserve">=0.45 × </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Alga</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Alga</m:t>
                </m:r>
              </m:e>
            </m:nary>
          </m:den>
        </m:f>
        <m:r>
          <w:rPr>
            <w:rFonts w:ascii="Cambria Math" w:eastAsia="Times New Roman" w:hAnsi="Cambria Math" w:cs="Times New Roman"/>
            <w:sz w:val="18"/>
            <w:szCs w:val="24"/>
          </w:rPr>
          <m:t>+0.1×</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Starp</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Starp</m:t>
                </m:r>
              </m:e>
            </m:nary>
          </m:den>
        </m:f>
        <m:r>
          <w:rPr>
            <w:rFonts w:ascii="Cambria Math" w:eastAsia="Times New Roman" w:hAnsi="Cambria Math" w:cs="Times New Roman"/>
            <w:sz w:val="18"/>
            <w:szCs w:val="24"/>
          </w:rPr>
          <m:t>+0.05×</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Nac</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Nac</m:t>
                </m:r>
              </m:e>
            </m:nary>
          </m:den>
        </m:f>
        <m:r>
          <w:rPr>
            <w:rFonts w:ascii="Cambria Math" w:eastAsia="Times New Roman" w:hAnsi="Cambria Math" w:cs="Times New Roman"/>
            <w:sz w:val="18"/>
            <w:szCs w:val="24"/>
          </w:rPr>
          <m:t>+0.1×</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Ligum</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Ligum</m:t>
                </m:r>
              </m:e>
            </m:nary>
          </m:den>
        </m:f>
        <m:r>
          <w:rPr>
            <w:rFonts w:ascii="Cambria Math" w:eastAsia="Times New Roman" w:hAnsi="Cambria Math" w:cs="Times New Roman"/>
            <w:sz w:val="18"/>
            <w:szCs w:val="24"/>
          </w:rPr>
          <m:t>+0.05×</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Publ</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Publ</m:t>
                </m:r>
              </m:e>
            </m:nary>
          </m:den>
        </m:f>
        <m:r>
          <w:rPr>
            <w:rFonts w:ascii="Cambria Math" w:eastAsia="Times New Roman" w:hAnsi="Cambria Math" w:cs="Times New Roman"/>
            <w:sz w:val="18"/>
            <w:szCs w:val="24"/>
          </w:rPr>
          <m:t>+0.05×</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DrMg</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DrMH</m:t>
                </m:r>
              </m:e>
            </m:nary>
          </m:den>
        </m:f>
        <m:r>
          <w:rPr>
            <w:rFonts w:ascii="Cambria Math" w:eastAsia="Times New Roman" w:hAnsi="Cambria Math" w:cs="Times New Roman"/>
            <w:sz w:val="18"/>
            <w:szCs w:val="24"/>
          </w:rPr>
          <m:t>+0.2×</m:t>
        </m:r>
        <m:f>
          <m:fPr>
            <m:ctrlPr>
              <w:rPr>
                <w:rFonts w:ascii="Cambria Math" w:eastAsia="Times New Roman" w:hAnsi="Cambria Math" w:cs="Times New Roman"/>
                <w:i/>
                <w:sz w:val="18"/>
                <w:szCs w:val="24"/>
              </w:rPr>
            </m:ctrlPr>
          </m:fPr>
          <m:num>
            <m:r>
              <w:rPr>
                <w:rFonts w:ascii="Cambria Math" w:eastAsia="Times New Roman" w:hAnsi="Cambria Math" w:cs="Times New Roman"/>
                <w:sz w:val="18"/>
                <w:szCs w:val="24"/>
              </w:rPr>
              <m:t>Izc</m:t>
            </m:r>
          </m:num>
          <m:den>
            <m:nary>
              <m:naryPr>
                <m:chr m:val="∑"/>
                <m:limLoc m:val="undOvr"/>
                <m:subHide m:val="1"/>
                <m:supHide m:val="1"/>
                <m:ctrlPr>
                  <w:rPr>
                    <w:rFonts w:ascii="Cambria Math" w:eastAsia="Times New Roman" w:hAnsi="Cambria Math" w:cs="Times New Roman"/>
                    <w:i/>
                    <w:sz w:val="18"/>
                    <w:szCs w:val="24"/>
                  </w:rPr>
                </m:ctrlPr>
              </m:naryPr>
              <m:sub/>
              <m:sup/>
              <m:e>
                <m:r>
                  <w:rPr>
                    <w:rFonts w:ascii="Cambria Math" w:eastAsia="Times New Roman" w:hAnsi="Cambria Math" w:cs="Times New Roman"/>
                    <w:sz w:val="18"/>
                    <w:szCs w:val="24"/>
                  </w:rPr>
                  <m:t>Izc</m:t>
                </m:r>
              </m:e>
            </m:nary>
          </m:den>
        </m:f>
      </m:oMath>
      <w:r w:rsidR="00BE77E4">
        <w:rPr>
          <w:rFonts w:ascii="Times New Roman" w:eastAsia="Times New Roman" w:hAnsi="Times New Roman" w:cs="Times New Roman"/>
          <w:sz w:val="18"/>
          <w:szCs w:val="24"/>
        </w:rPr>
        <w:t>, kur</w:t>
      </w:r>
    </w:p>
    <w:p w14:paraId="4AD822C1" w14:textId="77777777" w:rsidR="00D500A3" w:rsidRPr="006913F3" w:rsidRDefault="00D500A3" w:rsidP="00B87FAB">
      <w:pPr>
        <w:spacing w:after="0" w:line="240" w:lineRule="auto"/>
        <w:jc w:val="both"/>
        <w:rPr>
          <w:rFonts w:ascii="Times New Roman" w:eastAsia="Times New Roman" w:hAnsi="Times New Roman" w:cs="Times New Roman"/>
          <w:sz w:val="24"/>
          <w:szCs w:val="24"/>
        </w:rPr>
      </w:pPr>
    </w:p>
    <w:p w14:paraId="73CA86E1" w14:textId="5047DF21" w:rsidR="00D500A3"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Alga – </w:t>
      </w:r>
      <w:r w:rsidR="00B87FAB">
        <w:rPr>
          <w:rFonts w:ascii="Times New Roman" w:eastAsia="Times New Roman" w:hAnsi="Times New Roman" w:cs="Times New Roman"/>
          <w:sz w:val="24"/>
          <w:szCs w:val="24"/>
        </w:rPr>
        <w:t xml:space="preserve">zinatniskās </w:t>
      </w:r>
      <w:r w:rsidR="00BE77E4">
        <w:rPr>
          <w:rFonts w:ascii="Times New Roman" w:eastAsia="Times New Roman" w:hAnsi="Times New Roman" w:cs="Times New Roman"/>
          <w:sz w:val="24"/>
          <w:szCs w:val="24"/>
        </w:rPr>
        <w:t>i</w:t>
      </w:r>
      <w:r w:rsidR="00BE77E4" w:rsidRPr="006913F3">
        <w:rPr>
          <w:rFonts w:ascii="Times New Roman" w:eastAsia="Times New Roman" w:hAnsi="Times New Roman" w:cs="Times New Roman"/>
          <w:sz w:val="24"/>
          <w:szCs w:val="24"/>
        </w:rPr>
        <w:t xml:space="preserve">nstitūcijas </w:t>
      </w:r>
      <w:r w:rsidRPr="006913F3">
        <w:rPr>
          <w:rFonts w:ascii="Times New Roman" w:eastAsia="Times New Roman" w:hAnsi="Times New Roman" w:cs="Times New Roman"/>
          <w:sz w:val="24"/>
          <w:szCs w:val="24"/>
        </w:rPr>
        <w:t>zinātnisko darbinieku atalgojums pēdējos 3 gados</w:t>
      </w:r>
      <w:r w:rsidR="00BE77E4">
        <w:rPr>
          <w:rFonts w:ascii="Times New Roman" w:eastAsia="Times New Roman" w:hAnsi="Times New Roman" w:cs="Times New Roman"/>
          <w:sz w:val="24"/>
          <w:szCs w:val="24"/>
        </w:rPr>
        <w:t>;</w:t>
      </w:r>
    </w:p>
    <w:p w14:paraId="0DD20E46" w14:textId="6B462A6C"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∑Alga – </w:t>
      </w:r>
      <w:r w:rsidR="00B87FAB">
        <w:rPr>
          <w:rFonts w:ascii="Times New Roman" w:eastAsia="Times New Roman" w:hAnsi="Times New Roman" w:cs="Times New Roman"/>
          <w:sz w:val="24"/>
          <w:szCs w:val="24"/>
        </w:rPr>
        <w:t xml:space="preserve">zinatniskās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zinātnisko darbinieku atalgojuma kopsumma pēdējos 3 gados</w:t>
      </w:r>
      <w:r w:rsidR="00BE77E4">
        <w:rPr>
          <w:rFonts w:ascii="Times New Roman" w:eastAsia="Times New Roman" w:hAnsi="Times New Roman" w:cs="Times New Roman"/>
          <w:sz w:val="24"/>
          <w:szCs w:val="24"/>
        </w:rPr>
        <w:t>;</w:t>
      </w:r>
    </w:p>
    <w:p w14:paraId="00BB8E31" w14:textId="7DD6532A"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Starp – </w:t>
      </w:r>
      <w:r w:rsidR="00B87FAB">
        <w:rPr>
          <w:rFonts w:ascii="Times New Roman" w:eastAsia="Times New Roman" w:hAnsi="Times New Roman" w:cs="Times New Roman"/>
          <w:sz w:val="24"/>
          <w:szCs w:val="24"/>
        </w:rPr>
        <w:t xml:space="preserve">zinātniskās </w:t>
      </w:r>
      <w:r w:rsidR="00BE77E4">
        <w:rPr>
          <w:rFonts w:ascii="Times New Roman" w:eastAsia="Times New Roman" w:hAnsi="Times New Roman" w:cs="Times New Roman"/>
          <w:sz w:val="24"/>
          <w:szCs w:val="24"/>
        </w:rPr>
        <w:t>i</w:t>
      </w:r>
      <w:r w:rsidR="00BE77E4" w:rsidRPr="006913F3">
        <w:rPr>
          <w:rFonts w:ascii="Times New Roman" w:eastAsia="Times New Roman" w:hAnsi="Times New Roman" w:cs="Times New Roman"/>
          <w:sz w:val="24"/>
          <w:szCs w:val="24"/>
        </w:rPr>
        <w:t xml:space="preserve">nstitūcijas </w:t>
      </w:r>
      <w:r w:rsidRPr="006913F3">
        <w:rPr>
          <w:rFonts w:ascii="Times New Roman" w:eastAsia="Times New Roman" w:hAnsi="Times New Roman" w:cs="Times New Roman"/>
          <w:sz w:val="24"/>
          <w:szCs w:val="24"/>
        </w:rPr>
        <w:t>starptautisko P&amp;A projektu finansējums pēdējos 3 gados</w:t>
      </w:r>
      <w:r w:rsidR="00BE77E4">
        <w:rPr>
          <w:rFonts w:ascii="Times New Roman" w:eastAsia="Times New Roman" w:hAnsi="Times New Roman" w:cs="Times New Roman"/>
          <w:sz w:val="24"/>
          <w:szCs w:val="24"/>
        </w:rPr>
        <w:t>;</w:t>
      </w:r>
    </w:p>
    <w:p w14:paraId="364A91FE" w14:textId="05C9D429"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∑Starp –</w:t>
      </w:r>
      <w:r w:rsidR="00B87FAB">
        <w:rPr>
          <w:rFonts w:ascii="Times New Roman" w:eastAsia="Times New Roman" w:hAnsi="Times New Roman" w:cs="Times New Roman"/>
          <w:sz w:val="24"/>
          <w:szCs w:val="24"/>
        </w:rPr>
        <w:t>zinātniskās</w:t>
      </w:r>
      <w:r w:rsidR="00B87FAB"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starptautisko P&amp;A projektu finansējuma kopsumma pēdējos 3 gados</w:t>
      </w:r>
      <w:r w:rsidR="00BE77E4">
        <w:rPr>
          <w:rFonts w:ascii="Times New Roman" w:eastAsia="Times New Roman" w:hAnsi="Times New Roman" w:cs="Times New Roman"/>
          <w:sz w:val="24"/>
          <w:szCs w:val="24"/>
        </w:rPr>
        <w:t>;</w:t>
      </w:r>
    </w:p>
    <w:p w14:paraId="7DD5BB2A" w14:textId="2ADCCB10"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Nac – </w:t>
      </w:r>
      <w:r w:rsidR="00B87FAB">
        <w:rPr>
          <w:rFonts w:ascii="Times New Roman" w:eastAsia="Times New Roman" w:hAnsi="Times New Roman" w:cs="Times New Roman"/>
          <w:sz w:val="24"/>
          <w:szCs w:val="24"/>
        </w:rPr>
        <w:t xml:space="preserve">zinātniskās </w:t>
      </w:r>
      <w:r w:rsidR="00BE77E4">
        <w:rPr>
          <w:rFonts w:ascii="Times New Roman" w:eastAsia="Times New Roman" w:hAnsi="Times New Roman" w:cs="Times New Roman"/>
          <w:sz w:val="24"/>
          <w:szCs w:val="24"/>
        </w:rPr>
        <w:t>i</w:t>
      </w:r>
      <w:r w:rsidRPr="006913F3">
        <w:rPr>
          <w:rFonts w:ascii="Times New Roman" w:eastAsia="Times New Roman" w:hAnsi="Times New Roman" w:cs="Times New Roman"/>
          <w:sz w:val="24"/>
          <w:szCs w:val="24"/>
        </w:rPr>
        <w:t>nstitūcijas nacionālo P&amp;A projektu finansējums pēdējos 3 gados</w:t>
      </w:r>
      <w:r w:rsidR="00BE77E4">
        <w:rPr>
          <w:rFonts w:ascii="Times New Roman" w:eastAsia="Times New Roman" w:hAnsi="Times New Roman" w:cs="Times New Roman"/>
          <w:sz w:val="24"/>
          <w:szCs w:val="24"/>
        </w:rPr>
        <w:t>;</w:t>
      </w:r>
    </w:p>
    <w:p w14:paraId="0B7A2E7A" w14:textId="2391DAC3"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∑Nac –</w:t>
      </w:r>
      <w:r w:rsidR="00B87FAB">
        <w:rPr>
          <w:rFonts w:ascii="Times New Roman" w:eastAsia="Times New Roman" w:hAnsi="Times New Roman" w:cs="Times New Roman"/>
          <w:sz w:val="24"/>
          <w:szCs w:val="24"/>
        </w:rPr>
        <w:t>zinātniskās</w:t>
      </w:r>
      <w:r w:rsidR="00B87FAB"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nacionālo P&amp;A projektu finansējuma kopsumma pēdējos 3 gados</w:t>
      </w:r>
      <w:r w:rsidR="00BE77E4">
        <w:rPr>
          <w:rFonts w:ascii="Times New Roman" w:eastAsia="Times New Roman" w:hAnsi="Times New Roman" w:cs="Times New Roman"/>
          <w:sz w:val="24"/>
          <w:szCs w:val="24"/>
        </w:rPr>
        <w:t>;</w:t>
      </w:r>
    </w:p>
    <w:p w14:paraId="78A6EAFA" w14:textId="2ACDD112"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Ligum – </w:t>
      </w:r>
      <w:r w:rsidR="00B87FAB">
        <w:rPr>
          <w:rFonts w:ascii="Times New Roman" w:eastAsia="Times New Roman" w:hAnsi="Times New Roman" w:cs="Times New Roman"/>
          <w:sz w:val="24"/>
          <w:szCs w:val="24"/>
        </w:rPr>
        <w:t>zi</w:t>
      </w:r>
      <w:r w:rsidR="00B87FAB" w:rsidRPr="00B87FAB">
        <w:rPr>
          <w:rFonts w:ascii="Times New Roman" w:eastAsia="Times New Roman" w:hAnsi="Times New Roman" w:cs="Times New Roman"/>
          <w:sz w:val="24"/>
          <w:szCs w:val="24"/>
        </w:rPr>
        <w:t xml:space="preserve"> </w:t>
      </w:r>
      <w:r w:rsidR="00B87FAB">
        <w:rPr>
          <w:rFonts w:ascii="Times New Roman" w:eastAsia="Times New Roman" w:hAnsi="Times New Roman" w:cs="Times New Roman"/>
          <w:sz w:val="24"/>
          <w:szCs w:val="24"/>
        </w:rPr>
        <w:t>zinātniskās</w:t>
      </w:r>
      <w:r w:rsidRPr="006913F3">
        <w:rPr>
          <w:rFonts w:ascii="Times New Roman" w:eastAsia="Times New Roman" w:hAnsi="Times New Roman" w:cs="Times New Roman"/>
          <w:sz w:val="24"/>
          <w:szCs w:val="24"/>
        </w:rPr>
        <w:t xml:space="preserve"> 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P&amp;A līgumprojektu finansējuma kopsumma pēdējos 3 gados</w:t>
      </w:r>
      <w:r w:rsidR="00BE77E4">
        <w:rPr>
          <w:rFonts w:ascii="Times New Roman" w:eastAsia="Times New Roman" w:hAnsi="Times New Roman" w:cs="Times New Roman"/>
          <w:sz w:val="24"/>
          <w:szCs w:val="24"/>
        </w:rPr>
        <w:t>;</w:t>
      </w:r>
    </w:p>
    <w:p w14:paraId="44C8BDD8" w14:textId="34DA5DA8"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Publ – </w:t>
      </w:r>
      <w:r w:rsidR="00B87FAB">
        <w:rPr>
          <w:rFonts w:ascii="Times New Roman" w:eastAsia="Times New Roman" w:hAnsi="Times New Roman" w:cs="Times New Roman"/>
          <w:sz w:val="24"/>
          <w:szCs w:val="24"/>
        </w:rPr>
        <w:t xml:space="preserve">zinātniskās </w:t>
      </w:r>
      <w:r w:rsidR="00BE77E4">
        <w:rPr>
          <w:rFonts w:ascii="Times New Roman" w:eastAsia="Times New Roman" w:hAnsi="Times New Roman" w:cs="Times New Roman"/>
          <w:sz w:val="24"/>
          <w:szCs w:val="24"/>
        </w:rPr>
        <w:t>i</w:t>
      </w:r>
      <w:r w:rsidRPr="006913F3">
        <w:rPr>
          <w:rFonts w:ascii="Times New Roman" w:eastAsia="Times New Roman" w:hAnsi="Times New Roman" w:cs="Times New Roman"/>
          <w:sz w:val="24"/>
          <w:szCs w:val="24"/>
        </w:rPr>
        <w:t>nstitūcijas publikāciju skaits pēdējos 3 gados</w:t>
      </w:r>
      <w:r w:rsidR="00BE77E4">
        <w:rPr>
          <w:rFonts w:ascii="Times New Roman" w:eastAsia="Times New Roman" w:hAnsi="Times New Roman" w:cs="Times New Roman"/>
          <w:sz w:val="24"/>
          <w:szCs w:val="24"/>
        </w:rPr>
        <w:t>;</w:t>
      </w:r>
    </w:p>
    <w:p w14:paraId="6427ECFF" w14:textId="0DB0275D"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∑Publ–</w:t>
      </w:r>
      <w:r w:rsidR="00B87FAB">
        <w:rPr>
          <w:rFonts w:ascii="Times New Roman" w:eastAsia="Times New Roman" w:hAnsi="Times New Roman" w:cs="Times New Roman"/>
          <w:sz w:val="24"/>
          <w:szCs w:val="24"/>
        </w:rPr>
        <w:t>zinātniskās</w:t>
      </w:r>
      <w:r w:rsidR="00B87FAB"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publikāciju skaita kopsumma pēdējos 3 gados</w:t>
      </w:r>
      <w:r w:rsidR="00BE77E4">
        <w:rPr>
          <w:rFonts w:ascii="Times New Roman" w:eastAsia="Times New Roman" w:hAnsi="Times New Roman" w:cs="Times New Roman"/>
          <w:sz w:val="24"/>
          <w:szCs w:val="24"/>
        </w:rPr>
        <w:t>;</w:t>
      </w:r>
    </w:p>
    <w:p w14:paraId="738693B0" w14:textId="3A1AA923"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DrMg – </w:t>
      </w:r>
      <w:r w:rsidR="00B87FAB">
        <w:rPr>
          <w:rFonts w:ascii="Times New Roman" w:eastAsia="Times New Roman" w:hAnsi="Times New Roman" w:cs="Times New Roman"/>
          <w:sz w:val="24"/>
          <w:szCs w:val="24"/>
        </w:rPr>
        <w:t xml:space="preserve">zinātniskās </w:t>
      </w:r>
      <w:r w:rsidR="00BE77E4">
        <w:rPr>
          <w:rFonts w:ascii="Times New Roman" w:eastAsia="Times New Roman" w:hAnsi="Times New Roman" w:cs="Times New Roman"/>
          <w:sz w:val="24"/>
          <w:szCs w:val="24"/>
        </w:rPr>
        <w:t>i</w:t>
      </w:r>
      <w:r w:rsidRPr="006913F3">
        <w:rPr>
          <w:rFonts w:ascii="Times New Roman" w:eastAsia="Times New Roman" w:hAnsi="Times New Roman" w:cs="Times New Roman"/>
          <w:sz w:val="24"/>
          <w:szCs w:val="24"/>
        </w:rPr>
        <w:t>nstitūcijas zinātnisko darbinieku doktora grāda ieguvēju un maģistra grāda ieguvēju skaits pēdējos 3 gados</w:t>
      </w:r>
      <w:r w:rsidR="00BE77E4">
        <w:rPr>
          <w:rFonts w:ascii="Times New Roman" w:eastAsia="Times New Roman" w:hAnsi="Times New Roman" w:cs="Times New Roman"/>
          <w:sz w:val="24"/>
          <w:szCs w:val="24"/>
        </w:rPr>
        <w:t>;</w:t>
      </w:r>
    </w:p>
    <w:p w14:paraId="0CDCAE1E" w14:textId="0297AC5B"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∑DrMg</w:t>
      </w:r>
      <w:r w:rsidR="00BE77E4">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 xml:space="preserve">–  </w:t>
      </w:r>
      <w:r w:rsidR="00B87FAB">
        <w:rPr>
          <w:rFonts w:ascii="Times New Roman" w:eastAsia="Times New Roman" w:hAnsi="Times New Roman" w:cs="Times New Roman"/>
          <w:sz w:val="24"/>
          <w:szCs w:val="24"/>
        </w:rPr>
        <w:t>zinātniskās</w:t>
      </w:r>
      <w:r w:rsidR="00B87FAB"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zinātnisko darbinieku doktora grāda ieguvēju un maģistra grāda ieguvēju skaita kopsumma pēdējos 3 gados</w:t>
      </w:r>
      <w:r w:rsidR="00BE77E4">
        <w:rPr>
          <w:rFonts w:ascii="Times New Roman" w:eastAsia="Times New Roman" w:hAnsi="Times New Roman" w:cs="Times New Roman"/>
          <w:sz w:val="24"/>
          <w:szCs w:val="24"/>
        </w:rPr>
        <w:t>;</w:t>
      </w:r>
    </w:p>
    <w:p w14:paraId="31A28DF2" w14:textId="0FBBC93F"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lastRenderedPageBreak/>
        <w:t xml:space="preserve">Izc – </w:t>
      </w:r>
      <w:r w:rsidR="00B87FAB">
        <w:rPr>
          <w:rFonts w:ascii="Times New Roman" w:eastAsia="Times New Roman" w:hAnsi="Times New Roman" w:cs="Times New Roman"/>
          <w:sz w:val="24"/>
          <w:szCs w:val="24"/>
        </w:rPr>
        <w:t xml:space="preserve">zinātniskās </w:t>
      </w:r>
      <w:r w:rsidR="00BE77E4">
        <w:rPr>
          <w:rFonts w:ascii="Times New Roman" w:eastAsia="Times New Roman" w:hAnsi="Times New Roman" w:cs="Times New Roman"/>
          <w:sz w:val="24"/>
          <w:szCs w:val="24"/>
        </w:rPr>
        <w:t>i</w:t>
      </w:r>
      <w:r w:rsidRPr="006913F3">
        <w:rPr>
          <w:rFonts w:ascii="Times New Roman" w:eastAsia="Times New Roman" w:hAnsi="Times New Roman" w:cs="Times New Roman"/>
          <w:sz w:val="24"/>
          <w:szCs w:val="24"/>
        </w:rPr>
        <w:t>nstitūcijas izcilības finansējums</w:t>
      </w:r>
      <w:r w:rsidR="00BE77E4">
        <w:rPr>
          <w:rFonts w:ascii="Times New Roman" w:eastAsia="Times New Roman" w:hAnsi="Times New Roman" w:cs="Times New Roman"/>
          <w:sz w:val="24"/>
          <w:szCs w:val="24"/>
        </w:rPr>
        <w:t>;</w:t>
      </w:r>
    </w:p>
    <w:p w14:paraId="442C3F3A" w14:textId="21F43FB1" w:rsidR="002C2912" w:rsidRPr="006913F3" w:rsidRDefault="002C2912" w:rsidP="00B87FAB">
      <w:pPr>
        <w:spacing w:after="0" w:line="240" w:lineRule="auto"/>
        <w:jc w:val="both"/>
        <w:rPr>
          <w:rFonts w:ascii="Times New Roman" w:eastAsia="Times New Roman" w:hAnsi="Times New Roman" w:cs="Times New Roman"/>
          <w:sz w:val="24"/>
          <w:szCs w:val="24"/>
        </w:rPr>
      </w:pPr>
      <w:r w:rsidRPr="006913F3">
        <w:rPr>
          <w:rFonts w:ascii="Times New Roman" w:eastAsia="Times New Roman" w:hAnsi="Times New Roman" w:cs="Times New Roman"/>
          <w:sz w:val="24"/>
          <w:szCs w:val="24"/>
        </w:rPr>
        <w:t xml:space="preserve">∑Izc– </w:t>
      </w:r>
      <w:r w:rsidR="00B87FAB" w:rsidRPr="00B87FAB">
        <w:rPr>
          <w:rFonts w:ascii="Times New Roman" w:eastAsia="Times New Roman" w:hAnsi="Times New Roman" w:cs="Times New Roman"/>
          <w:sz w:val="24"/>
          <w:szCs w:val="24"/>
        </w:rPr>
        <w:t xml:space="preserve"> </w:t>
      </w:r>
      <w:r w:rsidR="00B87FAB">
        <w:rPr>
          <w:rFonts w:ascii="Times New Roman" w:eastAsia="Times New Roman" w:hAnsi="Times New Roman" w:cs="Times New Roman"/>
          <w:sz w:val="24"/>
          <w:szCs w:val="24"/>
        </w:rPr>
        <w:t>zinātniskās</w:t>
      </w:r>
      <w:r w:rsidR="00BE77E4" w:rsidRPr="006913F3">
        <w:rPr>
          <w:rFonts w:ascii="Times New Roman" w:eastAsia="Times New Roman" w:hAnsi="Times New Roman" w:cs="Times New Roman"/>
          <w:sz w:val="24"/>
          <w:szCs w:val="24"/>
        </w:rPr>
        <w:t xml:space="preserve"> </w:t>
      </w:r>
      <w:r w:rsidRPr="006913F3">
        <w:rPr>
          <w:rFonts w:ascii="Times New Roman" w:eastAsia="Times New Roman" w:hAnsi="Times New Roman" w:cs="Times New Roman"/>
          <w:sz w:val="24"/>
          <w:szCs w:val="24"/>
        </w:rPr>
        <w:t>institūcij</w:t>
      </w:r>
      <w:r w:rsidR="00B87FAB">
        <w:rPr>
          <w:rFonts w:ascii="Times New Roman" w:eastAsia="Times New Roman" w:hAnsi="Times New Roman" w:cs="Times New Roman"/>
          <w:sz w:val="24"/>
          <w:szCs w:val="24"/>
        </w:rPr>
        <w:t>as visu</w:t>
      </w:r>
      <w:r w:rsidRPr="006913F3">
        <w:rPr>
          <w:rFonts w:ascii="Times New Roman" w:eastAsia="Times New Roman" w:hAnsi="Times New Roman" w:cs="Times New Roman"/>
          <w:sz w:val="24"/>
          <w:szCs w:val="24"/>
        </w:rPr>
        <w:t xml:space="preserve"> izcilības finansējuma kopsumma</w:t>
      </w:r>
      <w:r w:rsidR="00BE77E4">
        <w:rPr>
          <w:rFonts w:ascii="Times New Roman" w:eastAsia="Times New Roman" w:hAnsi="Times New Roman" w:cs="Times New Roman"/>
          <w:sz w:val="24"/>
          <w:szCs w:val="24"/>
        </w:rPr>
        <w:t>.</w:t>
      </w:r>
    </w:p>
    <w:p w14:paraId="3DE5BD79" w14:textId="77777777" w:rsidR="002C2912" w:rsidRPr="006913F3" w:rsidRDefault="002C2912" w:rsidP="00B87FAB">
      <w:pPr>
        <w:spacing w:after="0" w:line="240" w:lineRule="auto"/>
        <w:jc w:val="both"/>
        <w:rPr>
          <w:rFonts w:ascii="Times New Roman" w:eastAsia="Times New Roman" w:hAnsi="Times New Roman" w:cs="Times New Roman"/>
          <w:sz w:val="24"/>
          <w:szCs w:val="24"/>
        </w:rPr>
      </w:pPr>
    </w:p>
    <w:p w14:paraId="0D59A8EA" w14:textId="63CAB859" w:rsidR="001C2173" w:rsidRPr="006913F3" w:rsidRDefault="00413386" w:rsidP="00B87FAB">
      <w:pPr>
        <w:spacing w:after="0" w:line="240" w:lineRule="auto"/>
        <w:ind w:firstLine="720"/>
        <w:jc w:val="both"/>
        <w:rPr>
          <w:rFonts w:ascii="Times New Roman" w:hAnsi="Times New Roman" w:cs="Times New Roman"/>
          <w:sz w:val="24"/>
          <w:szCs w:val="24"/>
        </w:rPr>
      </w:pPr>
      <w:r w:rsidRPr="006913F3">
        <w:rPr>
          <w:rFonts w:ascii="Times New Roman" w:eastAsia="Times New Roman" w:hAnsi="Times New Roman" w:cs="Times New Roman"/>
          <w:sz w:val="24"/>
          <w:szCs w:val="24"/>
        </w:rPr>
        <w:t>Ar šādu aprēķinu formu</w:t>
      </w:r>
      <w:r w:rsidR="00EC66CE" w:rsidRPr="006913F3">
        <w:rPr>
          <w:rFonts w:ascii="Times New Roman" w:eastAsia="Times New Roman" w:hAnsi="Times New Roman" w:cs="Times New Roman"/>
          <w:sz w:val="24"/>
          <w:szCs w:val="24"/>
        </w:rPr>
        <w:t>l</w:t>
      </w:r>
      <w:r w:rsidRPr="006913F3">
        <w:rPr>
          <w:rFonts w:ascii="Times New Roman" w:eastAsia="Times New Roman" w:hAnsi="Times New Roman" w:cs="Times New Roman"/>
          <w:sz w:val="24"/>
          <w:szCs w:val="24"/>
        </w:rPr>
        <w:t>as piedāvājumu tiek sekmētas galvenās izmaiņas</w:t>
      </w:r>
      <w:r w:rsidR="00D500A3" w:rsidRPr="006913F3">
        <w:rPr>
          <w:rFonts w:ascii="Times New Roman" w:eastAsia="Times New Roman" w:hAnsi="Times New Roman" w:cs="Times New Roman"/>
          <w:sz w:val="24"/>
          <w:szCs w:val="24"/>
        </w:rPr>
        <w:t>,</w:t>
      </w:r>
      <w:r w:rsidR="00B47C19">
        <w:rPr>
          <w:rFonts w:ascii="Times New Roman" w:eastAsia="Times New Roman" w:hAnsi="Times New Roman" w:cs="Times New Roman"/>
          <w:sz w:val="24"/>
          <w:szCs w:val="24"/>
        </w:rPr>
        <w:t xml:space="preserve"> kas paredz</w:t>
      </w:r>
      <w:r w:rsidR="00D500A3" w:rsidRPr="006913F3">
        <w:rPr>
          <w:rFonts w:ascii="Times New Roman" w:eastAsia="Times New Roman" w:hAnsi="Times New Roman" w:cs="Times New Roman"/>
          <w:sz w:val="24"/>
          <w:szCs w:val="24"/>
        </w:rPr>
        <w:t xml:space="preserve"> atteikties no esošā veida, kā skaita zinātniskā personāla un zinātnisko darbinieku PLE (pārejot uz faktisko atalgojumu kā rādītāju). </w:t>
      </w:r>
      <w:r w:rsidR="002C2912" w:rsidRPr="006913F3">
        <w:rPr>
          <w:rFonts w:ascii="Times New Roman" w:eastAsia="Times New Roman" w:hAnsi="Times New Roman" w:cs="Times New Roman"/>
          <w:sz w:val="24"/>
          <w:szCs w:val="24"/>
        </w:rPr>
        <w:t xml:space="preserve">Ar šo </w:t>
      </w:r>
      <w:r w:rsidR="002C2912" w:rsidRPr="006913F3">
        <w:rPr>
          <w:rFonts w:ascii="Times New Roman" w:eastAsia="Times New Roman" w:hAnsi="Times New Roman" w:cs="Times New Roman"/>
          <w:b/>
          <w:sz w:val="24"/>
          <w:szCs w:val="24"/>
        </w:rPr>
        <w:t xml:space="preserve">mēs </w:t>
      </w:r>
      <w:r w:rsidR="00446C0A" w:rsidRPr="006913F3">
        <w:rPr>
          <w:rFonts w:ascii="Times New Roman" w:hAnsi="Times New Roman" w:cs="Times New Roman"/>
          <w:b/>
          <w:sz w:val="24"/>
          <w:szCs w:val="24"/>
        </w:rPr>
        <w:t>atsakāmies</w:t>
      </w:r>
      <w:r w:rsidR="008F0938" w:rsidRPr="006913F3">
        <w:rPr>
          <w:rFonts w:ascii="Times New Roman" w:hAnsi="Times New Roman" w:cs="Times New Roman"/>
          <w:b/>
          <w:sz w:val="24"/>
          <w:szCs w:val="24"/>
        </w:rPr>
        <w:t xml:space="preserve"> no PLE</w:t>
      </w:r>
      <w:r w:rsidR="00446C0A" w:rsidRPr="006913F3">
        <w:rPr>
          <w:rFonts w:ascii="Times New Roman" w:hAnsi="Times New Roman" w:cs="Times New Roman"/>
          <w:b/>
          <w:sz w:val="24"/>
          <w:szCs w:val="24"/>
        </w:rPr>
        <w:t xml:space="preserve"> kā pamata rādītāja</w:t>
      </w:r>
      <w:r w:rsidR="008F0938" w:rsidRPr="006913F3">
        <w:rPr>
          <w:rFonts w:ascii="Times New Roman" w:hAnsi="Times New Roman" w:cs="Times New Roman"/>
          <w:sz w:val="24"/>
          <w:szCs w:val="24"/>
        </w:rPr>
        <w:t>, tā vietā definējot, ka zinātnes bāzes finansējums nosedz daļu no zinātnisko institūciju zinātniskajiem dar</w:t>
      </w:r>
      <w:r w:rsidR="001C2173" w:rsidRPr="006913F3">
        <w:rPr>
          <w:rFonts w:ascii="Times New Roman" w:hAnsi="Times New Roman" w:cs="Times New Roman"/>
          <w:sz w:val="24"/>
          <w:szCs w:val="24"/>
        </w:rPr>
        <w:t>biniekiem izmaksātā atalgojuma.</w:t>
      </w:r>
    </w:p>
    <w:p w14:paraId="30E85FE3" w14:textId="59A43CEE" w:rsidR="00D6298C" w:rsidRPr="006913F3" w:rsidRDefault="008F0938" w:rsidP="003D3331">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Pēc 2019.</w:t>
      </w:r>
      <w:r w:rsidR="000B0816">
        <w:rPr>
          <w:rFonts w:ascii="Times New Roman" w:hAnsi="Times New Roman" w:cs="Times New Roman"/>
          <w:sz w:val="24"/>
          <w:szCs w:val="24"/>
        </w:rPr>
        <w:t xml:space="preserve"> </w:t>
      </w:r>
      <w:r w:rsidRPr="006913F3">
        <w:rPr>
          <w:rFonts w:ascii="Times New Roman" w:hAnsi="Times New Roman" w:cs="Times New Roman"/>
          <w:sz w:val="24"/>
          <w:szCs w:val="24"/>
        </w:rPr>
        <w:t xml:space="preserve">gada datiem, tās </w:t>
      </w:r>
      <w:r w:rsidR="003D3331">
        <w:rPr>
          <w:rFonts w:ascii="Times New Roman" w:hAnsi="Times New Roman" w:cs="Times New Roman"/>
          <w:sz w:val="24"/>
          <w:szCs w:val="24"/>
        </w:rPr>
        <w:t>zinātniskās institūcijas</w:t>
      </w:r>
      <w:r w:rsidRPr="006913F3">
        <w:rPr>
          <w:rFonts w:ascii="Times New Roman" w:hAnsi="Times New Roman" w:cs="Times New Roman"/>
          <w:sz w:val="24"/>
          <w:szCs w:val="24"/>
        </w:rPr>
        <w:t xml:space="preserve"> kuras saņem zinātnes bāzes finansējumu atalgojumā saviem zinātniskajiem darbiniekiem ir izmaksājušas 76 mil</w:t>
      </w:r>
      <w:r w:rsidR="000B0816">
        <w:rPr>
          <w:rFonts w:ascii="Times New Roman" w:hAnsi="Times New Roman" w:cs="Times New Roman"/>
          <w:sz w:val="24"/>
          <w:szCs w:val="24"/>
        </w:rPr>
        <w:t xml:space="preserve">jonus </w:t>
      </w:r>
      <w:r w:rsidR="000B0816" w:rsidRPr="000B0816">
        <w:rPr>
          <w:rFonts w:ascii="Times New Roman" w:hAnsi="Times New Roman" w:cs="Times New Roman"/>
          <w:i/>
          <w:sz w:val="24"/>
          <w:szCs w:val="24"/>
        </w:rPr>
        <w:t>eu</w:t>
      </w:r>
      <w:r w:rsidRPr="000B0816">
        <w:rPr>
          <w:rFonts w:ascii="Times New Roman" w:hAnsi="Times New Roman" w:cs="Times New Roman"/>
          <w:i/>
          <w:sz w:val="24"/>
          <w:szCs w:val="24"/>
        </w:rPr>
        <w:t>ro</w:t>
      </w:r>
      <w:r w:rsidRPr="006913F3">
        <w:rPr>
          <w:rFonts w:ascii="Times New Roman" w:hAnsi="Times New Roman" w:cs="Times New Roman"/>
          <w:sz w:val="24"/>
          <w:szCs w:val="24"/>
        </w:rPr>
        <w:t xml:space="preserve">. Balstoties uz ZTAIP, kurš paredz </w:t>
      </w:r>
      <w:r w:rsidR="000B0816">
        <w:rPr>
          <w:rFonts w:ascii="Times New Roman" w:hAnsi="Times New Roman" w:cs="Times New Roman"/>
          <w:sz w:val="24"/>
          <w:szCs w:val="24"/>
        </w:rPr>
        <w:t xml:space="preserve">sasniegt 40 miljonus </w:t>
      </w:r>
      <w:r w:rsidR="000B0816" w:rsidRPr="000B0816">
        <w:rPr>
          <w:rFonts w:ascii="Times New Roman" w:hAnsi="Times New Roman" w:cs="Times New Roman"/>
          <w:i/>
          <w:sz w:val="24"/>
          <w:szCs w:val="24"/>
        </w:rPr>
        <w:t>eu</w:t>
      </w:r>
      <w:r w:rsidRPr="000B0816">
        <w:rPr>
          <w:rFonts w:ascii="Times New Roman" w:hAnsi="Times New Roman" w:cs="Times New Roman"/>
          <w:i/>
          <w:sz w:val="24"/>
          <w:szCs w:val="24"/>
        </w:rPr>
        <w:t>ro</w:t>
      </w:r>
      <w:r w:rsidRPr="006913F3">
        <w:rPr>
          <w:rFonts w:ascii="Times New Roman" w:hAnsi="Times New Roman" w:cs="Times New Roman"/>
          <w:sz w:val="24"/>
          <w:szCs w:val="24"/>
        </w:rPr>
        <w:t xml:space="preserve"> zinātnes bāzes finansējumu 2027.</w:t>
      </w:r>
      <w:r w:rsidR="000B0816">
        <w:rPr>
          <w:rFonts w:ascii="Times New Roman" w:hAnsi="Times New Roman" w:cs="Times New Roman"/>
          <w:sz w:val="24"/>
          <w:szCs w:val="24"/>
        </w:rPr>
        <w:t xml:space="preserve"> </w:t>
      </w:r>
      <w:r w:rsidRPr="006913F3">
        <w:rPr>
          <w:rFonts w:ascii="Times New Roman" w:hAnsi="Times New Roman" w:cs="Times New Roman"/>
          <w:sz w:val="24"/>
          <w:szCs w:val="24"/>
        </w:rPr>
        <w:t>gadā, kā arī p</w:t>
      </w:r>
      <w:r w:rsidR="00D6298C" w:rsidRPr="006913F3">
        <w:rPr>
          <w:rFonts w:ascii="Times New Roman" w:hAnsi="Times New Roman" w:cs="Times New Roman"/>
          <w:sz w:val="24"/>
          <w:szCs w:val="24"/>
        </w:rPr>
        <w:t xml:space="preserve">rincipu, kurā bāzes finansējumā 50 % veido atalgojuma/infrastruktūras daļa un 50 % rezultāti, ir </w:t>
      </w:r>
      <w:r w:rsidR="00266386" w:rsidRPr="006913F3">
        <w:rPr>
          <w:rFonts w:ascii="Times New Roman" w:hAnsi="Times New Roman" w:cs="Times New Roman"/>
          <w:sz w:val="24"/>
          <w:szCs w:val="24"/>
        </w:rPr>
        <w:t>indikatīvi paredzams</w:t>
      </w:r>
      <w:r w:rsidR="00D6298C" w:rsidRPr="006913F3">
        <w:rPr>
          <w:rFonts w:ascii="Times New Roman" w:hAnsi="Times New Roman" w:cs="Times New Roman"/>
          <w:sz w:val="24"/>
          <w:szCs w:val="24"/>
        </w:rPr>
        <w:t>, ka z</w:t>
      </w:r>
      <w:r w:rsidR="00266386" w:rsidRPr="006913F3">
        <w:rPr>
          <w:rFonts w:ascii="Times New Roman" w:hAnsi="Times New Roman" w:cs="Times New Roman"/>
          <w:sz w:val="24"/>
          <w:szCs w:val="24"/>
        </w:rPr>
        <w:t>inātnes bāzes finansējums nosegtu ~</w:t>
      </w:r>
      <w:r w:rsidR="00D6298C" w:rsidRPr="006913F3">
        <w:rPr>
          <w:rFonts w:ascii="Times New Roman" w:hAnsi="Times New Roman" w:cs="Times New Roman"/>
          <w:sz w:val="24"/>
          <w:szCs w:val="24"/>
        </w:rPr>
        <w:t xml:space="preserve">15 % kopējā </w:t>
      </w:r>
      <w:r w:rsidR="00266386" w:rsidRPr="006913F3">
        <w:rPr>
          <w:rFonts w:ascii="Times New Roman" w:hAnsi="Times New Roman" w:cs="Times New Roman"/>
          <w:sz w:val="24"/>
          <w:szCs w:val="24"/>
        </w:rPr>
        <w:t xml:space="preserve">zinātnisko </w:t>
      </w:r>
      <w:r w:rsidR="00D6298C" w:rsidRPr="006913F3">
        <w:rPr>
          <w:rFonts w:ascii="Times New Roman" w:hAnsi="Times New Roman" w:cs="Times New Roman"/>
          <w:sz w:val="24"/>
          <w:szCs w:val="24"/>
        </w:rPr>
        <w:t>darbinieku atalgojuma (pie šī brīža finansējuma), pakāpeniski palielinoties līdz 25 % (ja ir nodrošināts papildu zinātnes bāzes finansējums).</w:t>
      </w:r>
      <w:r w:rsidR="001C2173" w:rsidRPr="006913F3">
        <w:rPr>
          <w:rFonts w:ascii="Times New Roman" w:eastAsia="Times New Roman" w:hAnsi="Times New Roman" w:cs="Times New Roman"/>
          <w:sz w:val="24"/>
          <w:szCs w:val="24"/>
        </w:rPr>
        <w:t xml:space="preserve"> </w:t>
      </w:r>
      <w:r w:rsidR="00D6298C" w:rsidRPr="006913F3">
        <w:rPr>
          <w:rFonts w:ascii="Times New Roman" w:hAnsi="Times New Roman" w:cs="Times New Roman"/>
          <w:sz w:val="24"/>
          <w:szCs w:val="24"/>
        </w:rPr>
        <w:t xml:space="preserve">Šis finansējums </w:t>
      </w:r>
      <w:r w:rsidR="001C2173" w:rsidRPr="006913F3">
        <w:rPr>
          <w:rFonts w:ascii="Times New Roman" w:hAnsi="Times New Roman" w:cs="Times New Roman"/>
          <w:sz w:val="24"/>
          <w:szCs w:val="24"/>
        </w:rPr>
        <w:t xml:space="preserve">tā izlietojumā </w:t>
      </w:r>
      <w:r w:rsidR="00D6298C" w:rsidRPr="006913F3">
        <w:rPr>
          <w:rFonts w:ascii="Times New Roman" w:hAnsi="Times New Roman" w:cs="Times New Roman"/>
          <w:sz w:val="24"/>
          <w:szCs w:val="24"/>
        </w:rPr>
        <w:t>attiektos gan atalgojuma nosegšanai, gan</w:t>
      </w:r>
      <w:r w:rsidR="00266386" w:rsidRPr="006913F3">
        <w:rPr>
          <w:rFonts w:ascii="Times New Roman" w:hAnsi="Times New Roman" w:cs="Times New Roman"/>
          <w:sz w:val="24"/>
          <w:szCs w:val="24"/>
        </w:rPr>
        <w:t xml:space="preserve"> pamata</w:t>
      </w:r>
      <w:r w:rsidR="00D6298C" w:rsidRPr="006913F3">
        <w:rPr>
          <w:rFonts w:ascii="Times New Roman" w:hAnsi="Times New Roman" w:cs="Times New Roman"/>
          <w:sz w:val="24"/>
          <w:szCs w:val="24"/>
        </w:rPr>
        <w:t xml:space="preserve"> infrastruktūras uzturēšanai.</w:t>
      </w:r>
    </w:p>
    <w:p w14:paraId="58905830" w14:textId="389CD850" w:rsidR="001C2173" w:rsidRPr="006913F3" w:rsidRDefault="001C2173" w:rsidP="003D3331">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Praktiski, </w:t>
      </w:r>
      <w:r w:rsidR="00266386" w:rsidRPr="006913F3">
        <w:rPr>
          <w:rFonts w:ascii="Times New Roman" w:hAnsi="Times New Roman" w:cs="Times New Roman"/>
          <w:sz w:val="24"/>
          <w:szCs w:val="24"/>
        </w:rPr>
        <w:t xml:space="preserve">jau apskatot šī brīža atšķirības atalgojumā starp zinātniskajām </w:t>
      </w:r>
      <w:r w:rsidR="00446C0A" w:rsidRPr="006913F3">
        <w:rPr>
          <w:rFonts w:ascii="Times New Roman" w:hAnsi="Times New Roman" w:cs="Times New Roman"/>
          <w:sz w:val="24"/>
          <w:szCs w:val="24"/>
        </w:rPr>
        <w:t>institūcijām</w:t>
      </w:r>
      <w:r w:rsidR="006A50FD">
        <w:rPr>
          <w:rFonts w:ascii="Times New Roman" w:hAnsi="Times New Roman" w:cs="Times New Roman"/>
          <w:sz w:val="24"/>
          <w:szCs w:val="24"/>
        </w:rPr>
        <w:t>,</w:t>
      </w:r>
      <w:r w:rsidR="00266386" w:rsidRPr="006913F3">
        <w:rPr>
          <w:rFonts w:ascii="Times New Roman" w:hAnsi="Times New Roman" w:cs="Times New Roman"/>
          <w:sz w:val="24"/>
          <w:szCs w:val="24"/>
        </w:rPr>
        <w:t xml:space="preserve"> </w:t>
      </w:r>
      <w:r w:rsidRPr="006913F3">
        <w:rPr>
          <w:rFonts w:ascii="Times New Roman" w:hAnsi="Times New Roman" w:cs="Times New Roman"/>
          <w:sz w:val="24"/>
          <w:szCs w:val="24"/>
        </w:rPr>
        <w:t xml:space="preserve"> ir skaidri redzams, ka </w:t>
      </w:r>
      <w:r w:rsidR="00266386" w:rsidRPr="006913F3">
        <w:rPr>
          <w:rFonts w:ascii="Times New Roman" w:hAnsi="Times New Roman" w:cs="Times New Roman"/>
          <w:sz w:val="24"/>
          <w:szCs w:val="24"/>
        </w:rPr>
        <w:t>ievērojama atšķirība a</w:t>
      </w:r>
      <w:r w:rsidR="00446C0A" w:rsidRPr="006913F3">
        <w:rPr>
          <w:rFonts w:ascii="Times New Roman" w:hAnsi="Times New Roman" w:cs="Times New Roman"/>
          <w:sz w:val="24"/>
          <w:szCs w:val="24"/>
        </w:rPr>
        <w:t>talgojumā starp dažā</w:t>
      </w:r>
      <w:r w:rsidR="00266386" w:rsidRPr="006913F3">
        <w:rPr>
          <w:rFonts w:ascii="Times New Roman" w:hAnsi="Times New Roman" w:cs="Times New Roman"/>
          <w:sz w:val="24"/>
          <w:szCs w:val="24"/>
        </w:rPr>
        <w:t xml:space="preserve">dām </w:t>
      </w:r>
      <w:r w:rsidR="00446C0A" w:rsidRPr="006913F3">
        <w:rPr>
          <w:rFonts w:ascii="Times New Roman" w:hAnsi="Times New Roman" w:cs="Times New Roman"/>
          <w:sz w:val="24"/>
          <w:szCs w:val="24"/>
        </w:rPr>
        <w:t>institūcijām</w:t>
      </w:r>
      <w:r w:rsidR="00266386" w:rsidRPr="006913F3">
        <w:rPr>
          <w:rFonts w:ascii="Times New Roman" w:hAnsi="Times New Roman" w:cs="Times New Roman"/>
          <w:sz w:val="24"/>
          <w:szCs w:val="24"/>
        </w:rPr>
        <w:t xml:space="preserve"> un zinātne</w:t>
      </w:r>
      <w:r w:rsidR="00446C0A" w:rsidRPr="006913F3">
        <w:rPr>
          <w:rFonts w:ascii="Times New Roman" w:hAnsi="Times New Roman" w:cs="Times New Roman"/>
          <w:sz w:val="24"/>
          <w:szCs w:val="24"/>
        </w:rPr>
        <w:t>s</w:t>
      </w:r>
      <w:r w:rsidR="00266386" w:rsidRPr="006913F3">
        <w:rPr>
          <w:rFonts w:ascii="Times New Roman" w:hAnsi="Times New Roman" w:cs="Times New Roman"/>
          <w:sz w:val="24"/>
          <w:szCs w:val="24"/>
        </w:rPr>
        <w:t xml:space="preserve"> nozaru grupām, kuru izraisa vairāku cēloņu kopums, taču liela nozīme ir arī tam, ka šī brīža aprēķinu formula īpaši stimulē tieši maksimāli augsta PLE apmēra noteikšanu</w:t>
      </w:r>
      <w:r w:rsidRPr="006913F3">
        <w:rPr>
          <w:rFonts w:ascii="Times New Roman" w:hAnsi="Times New Roman" w:cs="Times New Roman"/>
          <w:sz w:val="24"/>
          <w:szCs w:val="24"/>
        </w:rPr>
        <w:t>, kas šobrīd ir galvenais finansiālais stimuls</w:t>
      </w:r>
      <w:r w:rsidR="00266386" w:rsidRPr="006913F3">
        <w:rPr>
          <w:rFonts w:ascii="Times New Roman" w:hAnsi="Times New Roman" w:cs="Times New Roman"/>
          <w:sz w:val="24"/>
          <w:szCs w:val="24"/>
        </w:rPr>
        <w:t xml:space="preserve"> zinātnes bāzes finansējuma aprēķināšanā</w:t>
      </w:r>
      <w:r w:rsidRPr="006913F3">
        <w:rPr>
          <w:rFonts w:ascii="Times New Roman" w:hAnsi="Times New Roman" w:cs="Times New Roman"/>
          <w:sz w:val="24"/>
          <w:szCs w:val="24"/>
        </w:rPr>
        <w:t>.</w:t>
      </w:r>
    </w:p>
    <w:p w14:paraId="27C62258" w14:textId="5D431F81" w:rsidR="0030101D" w:rsidRPr="006913F3" w:rsidRDefault="00266386" w:rsidP="003D3331">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Pāreja uz atalgojuma komponentes ieviešanu arī praktiski ļaus atteikties no šobrīd aprēķinu formulā </w:t>
      </w:r>
      <w:r w:rsidR="006A50FD">
        <w:rPr>
          <w:rFonts w:ascii="Times New Roman" w:hAnsi="Times New Roman" w:cs="Times New Roman"/>
          <w:sz w:val="24"/>
          <w:szCs w:val="24"/>
        </w:rPr>
        <w:t>noteiktajiem nozares koeficientiem</w:t>
      </w:r>
      <w:r w:rsidRPr="006913F3">
        <w:rPr>
          <w:rFonts w:ascii="Times New Roman" w:hAnsi="Times New Roman" w:cs="Times New Roman"/>
          <w:sz w:val="24"/>
          <w:szCs w:val="24"/>
        </w:rPr>
        <w:t>, kas nodala dabaszinātņu nozares, inženierzinātņu un tehnoloģiju nozares, medicīnas un dzīvības zinātņu nozares, lauksaimniecības un meža zinātņu nozares, kurām ir noteikts augstāks koeficients</w:t>
      </w:r>
      <w:r w:rsidR="006A50FD">
        <w:rPr>
          <w:rFonts w:ascii="Times New Roman" w:hAnsi="Times New Roman" w:cs="Times New Roman"/>
          <w:sz w:val="24"/>
          <w:szCs w:val="24"/>
        </w:rPr>
        <w:t>, no</w:t>
      </w:r>
      <w:r w:rsidRPr="006913F3">
        <w:rPr>
          <w:rFonts w:ascii="Times New Roman" w:hAnsi="Times New Roman" w:cs="Times New Roman"/>
          <w:sz w:val="24"/>
          <w:szCs w:val="24"/>
        </w:rPr>
        <w:t xml:space="preserve"> humanitāro zinātņu nozarēm un sociālo zinātņu nozarēm, kurām ir noteikts ievērojami mazāks koeficients. Atalgojuma komponente PLE vietā parādīs objektīvās atalgojuma atšķirības starp nozarēm un institūcijām, kā arī lielāka loma rezultātiem (īpaši īstenoto projektu apmēram) arī iezīmēs atšķirību starp tām nozarēm, kurām ir izmaksu ietilpīgāki piesaistītie pētniecības projekti.</w:t>
      </w:r>
    </w:p>
    <w:p w14:paraId="43EDC4FD" w14:textId="738898A0" w:rsidR="001C2173" w:rsidRPr="006913F3" w:rsidRDefault="00266386" w:rsidP="003D3331">
      <w:pPr>
        <w:spacing w:after="0" w:line="240" w:lineRule="auto"/>
        <w:ind w:firstLine="360"/>
        <w:jc w:val="both"/>
        <w:rPr>
          <w:rFonts w:ascii="Times New Roman" w:hAnsi="Times New Roman" w:cs="Times New Roman"/>
          <w:sz w:val="24"/>
          <w:szCs w:val="24"/>
        </w:rPr>
      </w:pPr>
      <w:r w:rsidRPr="006913F3">
        <w:rPr>
          <w:rFonts w:ascii="Times New Roman" w:hAnsi="Times New Roman" w:cs="Times New Roman"/>
          <w:sz w:val="24"/>
          <w:szCs w:val="24"/>
        </w:rPr>
        <w:t>Papildus, atalgojuma komponentes ieviešanai, rezultātu aprēķins ir vienkāršots</w:t>
      </w:r>
      <w:r w:rsidR="00EC66CE" w:rsidRPr="006913F3">
        <w:rPr>
          <w:rFonts w:ascii="Times New Roman" w:hAnsi="Times New Roman" w:cs="Times New Roman"/>
          <w:sz w:val="24"/>
          <w:szCs w:val="24"/>
        </w:rPr>
        <w:t xml:space="preserve"> no formulas</w:t>
      </w:r>
      <w:r w:rsidRPr="006913F3">
        <w:rPr>
          <w:rFonts w:ascii="Times New Roman" w:hAnsi="Times New Roman" w:cs="Times New Roman"/>
          <w:sz w:val="24"/>
          <w:szCs w:val="24"/>
        </w:rPr>
        <w:t xml:space="preserve"> tehniskās</w:t>
      </w:r>
      <w:r w:rsidR="00EC66CE" w:rsidRPr="006913F3">
        <w:rPr>
          <w:rFonts w:ascii="Times New Roman" w:hAnsi="Times New Roman" w:cs="Times New Roman"/>
          <w:sz w:val="24"/>
          <w:szCs w:val="24"/>
        </w:rPr>
        <w:t xml:space="preserve"> uzbūves viedokļa</w:t>
      </w:r>
      <w:r w:rsidRPr="006913F3">
        <w:rPr>
          <w:rFonts w:ascii="Times New Roman" w:hAnsi="Times New Roman" w:cs="Times New Roman"/>
          <w:sz w:val="24"/>
          <w:szCs w:val="24"/>
        </w:rPr>
        <w:t xml:space="preserve"> (atsakoties no piesaistes zinātniskajam personālam, tā vietā apskatot zinātniskās institūcijas </w:t>
      </w:r>
      <w:r w:rsidR="00446C0A" w:rsidRPr="006913F3">
        <w:rPr>
          <w:rFonts w:ascii="Times New Roman" w:hAnsi="Times New Roman" w:cs="Times New Roman"/>
          <w:sz w:val="24"/>
          <w:szCs w:val="24"/>
        </w:rPr>
        <w:t>lomu konkrētajā rādītājā uz pārē</w:t>
      </w:r>
      <w:r w:rsidRPr="006913F3">
        <w:rPr>
          <w:rFonts w:ascii="Times New Roman" w:hAnsi="Times New Roman" w:cs="Times New Roman"/>
          <w:sz w:val="24"/>
          <w:szCs w:val="24"/>
        </w:rPr>
        <w:t>jo zinātnisko institūciju sasniegto rezultātu fona)</w:t>
      </w:r>
      <w:r w:rsidR="00EC66CE" w:rsidRPr="006913F3">
        <w:rPr>
          <w:rFonts w:ascii="Times New Roman" w:hAnsi="Times New Roman" w:cs="Times New Roman"/>
          <w:sz w:val="24"/>
          <w:szCs w:val="24"/>
        </w:rPr>
        <w:t xml:space="preserve">, bet ir </w:t>
      </w:r>
      <w:r w:rsidRPr="006913F3">
        <w:rPr>
          <w:rFonts w:ascii="Times New Roman" w:hAnsi="Times New Roman" w:cs="Times New Roman"/>
          <w:sz w:val="24"/>
          <w:szCs w:val="24"/>
        </w:rPr>
        <w:t>piedāvājums iekļaut</w:t>
      </w:r>
      <w:r w:rsidR="00EC66CE" w:rsidRPr="006913F3">
        <w:rPr>
          <w:rFonts w:ascii="Times New Roman" w:hAnsi="Times New Roman" w:cs="Times New Roman"/>
          <w:sz w:val="24"/>
          <w:szCs w:val="24"/>
        </w:rPr>
        <w:t xml:space="preserve"> </w:t>
      </w:r>
      <w:r w:rsidRPr="006913F3">
        <w:rPr>
          <w:rFonts w:ascii="Times New Roman" w:hAnsi="Times New Roman" w:cs="Times New Roman"/>
          <w:sz w:val="24"/>
          <w:szCs w:val="24"/>
        </w:rPr>
        <w:t>jaunus stimulus:</w:t>
      </w:r>
    </w:p>
    <w:p w14:paraId="75552E58" w14:textId="4D0E9092" w:rsidR="00EC66CE" w:rsidRPr="006913F3" w:rsidRDefault="00CF38AA" w:rsidP="00B87FA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EC66CE" w:rsidRPr="006913F3">
        <w:rPr>
          <w:rFonts w:ascii="Times New Roman" w:hAnsi="Times New Roman" w:cs="Times New Roman"/>
          <w:sz w:val="24"/>
          <w:szCs w:val="24"/>
        </w:rPr>
        <w:t>inātniskās publikācijas ir</w:t>
      </w:r>
      <w:r w:rsidR="00266386" w:rsidRPr="006913F3">
        <w:rPr>
          <w:rFonts w:ascii="Times New Roman" w:hAnsi="Times New Roman" w:cs="Times New Roman"/>
          <w:sz w:val="24"/>
          <w:szCs w:val="24"/>
        </w:rPr>
        <w:t xml:space="preserve"> piedāvāts svērt</w:t>
      </w:r>
      <w:r w:rsidR="00EC66CE" w:rsidRPr="006913F3">
        <w:rPr>
          <w:rFonts w:ascii="Times New Roman" w:hAnsi="Times New Roman" w:cs="Times New Roman"/>
          <w:sz w:val="24"/>
          <w:szCs w:val="24"/>
        </w:rPr>
        <w:t xml:space="preserve"> pēc to kvalitātes vai darba nozīmīguma (koeficients 3 Q1 Scopus un Web of Science publikācijām, koeficients – 1 pārējām Web of Science un SCOPUS publikācijām</w:t>
      </w:r>
      <w:r w:rsidR="00D9078B" w:rsidRPr="006913F3">
        <w:rPr>
          <w:rFonts w:ascii="Times New Roman" w:hAnsi="Times New Roman" w:cs="Times New Roman"/>
          <w:sz w:val="24"/>
          <w:szCs w:val="24"/>
        </w:rPr>
        <w:t>, 0,5 cita veida oriģinālajiem zinātniskajiem rakstiem</w:t>
      </w:r>
      <w:r w:rsidR="003D3331">
        <w:rPr>
          <w:rStyle w:val="FootnoteReference"/>
          <w:rFonts w:ascii="Times New Roman" w:hAnsi="Times New Roman" w:cs="Times New Roman"/>
          <w:sz w:val="24"/>
          <w:szCs w:val="24"/>
        </w:rPr>
        <w:footnoteReference w:id="20"/>
      </w:r>
      <w:r w:rsidR="00D9078B" w:rsidRPr="006913F3">
        <w:rPr>
          <w:rFonts w:ascii="Times New Roman" w:hAnsi="Times New Roman" w:cs="Times New Roman"/>
          <w:sz w:val="24"/>
          <w:szCs w:val="24"/>
        </w:rPr>
        <w:t>)</w:t>
      </w:r>
      <w:r w:rsidR="00B47C19">
        <w:rPr>
          <w:rFonts w:ascii="Times New Roman" w:hAnsi="Times New Roman" w:cs="Times New Roman"/>
          <w:sz w:val="24"/>
          <w:szCs w:val="24"/>
        </w:rPr>
        <w:t>;</w:t>
      </w:r>
    </w:p>
    <w:p w14:paraId="07951E1A" w14:textId="4F6C284E" w:rsidR="00D9078B" w:rsidRPr="006913F3" w:rsidRDefault="00B47C19" w:rsidP="00B87FA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266386" w:rsidRPr="006913F3">
        <w:rPr>
          <w:rFonts w:ascii="Times New Roman" w:hAnsi="Times New Roman" w:cs="Times New Roman"/>
          <w:sz w:val="24"/>
          <w:szCs w:val="24"/>
        </w:rPr>
        <w:t>inātniskā personāla un zinātnisko darbinieku a</w:t>
      </w:r>
      <w:r w:rsidR="00D9078B" w:rsidRPr="006913F3">
        <w:rPr>
          <w:rFonts w:ascii="Times New Roman" w:hAnsi="Times New Roman" w:cs="Times New Roman"/>
          <w:sz w:val="24"/>
          <w:szCs w:val="24"/>
        </w:rPr>
        <w:t>taudze ir apvienota 1</w:t>
      </w:r>
      <w:r w:rsidR="00266386" w:rsidRPr="006913F3">
        <w:rPr>
          <w:rFonts w:ascii="Times New Roman" w:hAnsi="Times New Roman" w:cs="Times New Roman"/>
          <w:sz w:val="24"/>
          <w:szCs w:val="24"/>
        </w:rPr>
        <w:t xml:space="preserve"> kopīgā</w:t>
      </w:r>
      <w:r w:rsidR="00D9078B" w:rsidRPr="006913F3">
        <w:rPr>
          <w:rFonts w:ascii="Times New Roman" w:hAnsi="Times New Roman" w:cs="Times New Roman"/>
          <w:sz w:val="24"/>
          <w:szCs w:val="24"/>
        </w:rPr>
        <w:t xml:space="preserve"> rādītājā, nosakot 3 reizes lielāku vērtību doktora grāda ieguvējiem, salīdzinājumā ar maģistra grāda ieguvējiem</w:t>
      </w:r>
      <w:r>
        <w:rPr>
          <w:rFonts w:ascii="Times New Roman" w:hAnsi="Times New Roman" w:cs="Times New Roman"/>
          <w:sz w:val="24"/>
          <w:szCs w:val="24"/>
        </w:rPr>
        <w:t>;</w:t>
      </w:r>
    </w:p>
    <w:p w14:paraId="77FA202A" w14:textId="2748BEDD" w:rsidR="00D9078B" w:rsidRPr="003D3331" w:rsidRDefault="00B47C19" w:rsidP="003D333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66386" w:rsidRPr="006913F3">
        <w:rPr>
          <w:rFonts w:ascii="Times New Roman" w:hAnsi="Times New Roman" w:cs="Times New Roman"/>
          <w:sz w:val="24"/>
          <w:szCs w:val="24"/>
        </w:rPr>
        <w:t>isos rādītājos ir noteikts 3 gadu periods</w:t>
      </w:r>
      <w:r w:rsidR="0085427C" w:rsidRPr="006913F3">
        <w:rPr>
          <w:rFonts w:ascii="Times New Roman" w:hAnsi="Times New Roman" w:cs="Times New Roman"/>
          <w:sz w:val="24"/>
          <w:szCs w:val="24"/>
        </w:rPr>
        <w:t xml:space="preserve"> datiem</w:t>
      </w:r>
      <w:r w:rsidR="00266386" w:rsidRPr="006913F3">
        <w:rPr>
          <w:rFonts w:ascii="Times New Roman" w:hAnsi="Times New Roman" w:cs="Times New Roman"/>
          <w:sz w:val="24"/>
          <w:szCs w:val="24"/>
        </w:rPr>
        <w:t xml:space="preserve"> (kas ieprie</w:t>
      </w:r>
      <w:r w:rsidR="00446C0A" w:rsidRPr="006913F3">
        <w:rPr>
          <w:rFonts w:ascii="Times New Roman" w:hAnsi="Times New Roman" w:cs="Times New Roman"/>
          <w:sz w:val="24"/>
          <w:szCs w:val="24"/>
        </w:rPr>
        <w:t>kš bija tikai attiecībā par zinā</w:t>
      </w:r>
      <w:r w:rsidR="00266386" w:rsidRPr="006913F3">
        <w:rPr>
          <w:rFonts w:ascii="Times New Roman" w:hAnsi="Times New Roman" w:cs="Times New Roman"/>
          <w:sz w:val="24"/>
          <w:szCs w:val="24"/>
        </w:rPr>
        <w:t>tniskajām publikācijām)</w:t>
      </w:r>
      <w:r w:rsidR="0085427C" w:rsidRPr="006913F3">
        <w:rPr>
          <w:rFonts w:ascii="Times New Roman" w:hAnsi="Times New Roman" w:cs="Times New Roman"/>
          <w:sz w:val="24"/>
          <w:szCs w:val="24"/>
        </w:rPr>
        <w:t xml:space="preserve">, kas ļauj nodrošināt lielāku stabilitāti zinātniskajām institūcijām (īpaši maza un vidēja izmēra institūcijām), kas ļaus stabilāk tikt galā ar grūti prognozējamām svārstībām īstenoto projektu apmērā (kas tieši ietekmē gan zinātnisko darbinieku skaitu, gan tiem izmaksāto atalgojumu), bet tajā pašā laikā arī adekvāti novērtēs nozīmīgas izmaiņu tendences rezultatīvajos rādītājos. </w:t>
      </w:r>
    </w:p>
    <w:p w14:paraId="08F8944D" w14:textId="18B0A011" w:rsidR="00C50B88" w:rsidRPr="006913F3" w:rsidRDefault="0085427C" w:rsidP="003D3331">
      <w:pPr>
        <w:spacing w:after="0" w:line="240" w:lineRule="auto"/>
        <w:ind w:firstLine="720"/>
        <w:jc w:val="both"/>
        <w:rPr>
          <w:rFonts w:ascii="Times New Roman" w:hAnsi="Times New Roman" w:cs="Times New Roman"/>
          <w:sz w:val="24"/>
          <w:szCs w:val="24"/>
        </w:rPr>
      </w:pPr>
      <w:r w:rsidRPr="006913F3">
        <w:rPr>
          <w:rFonts w:ascii="Times New Roman" w:hAnsi="Times New Roman" w:cs="Times New Roman"/>
          <w:sz w:val="24"/>
          <w:szCs w:val="24"/>
        </w:rPr>
        <w:lastRenderedPageBreak/>
        <w:t>Attiecībā par zinātnes bāzes finansējuma aprēķina</w:t>
      </w:r>
      <w:r w:rsidR="00446C0A" w:rsidRPr="006913F3">
        <w:rPr>
          <w:rFonts w:ascii="Times New Roman" w:hAnsi="Times New Roman" w:cs="Times New Roman"/>
          <w:sz w:val="24"/>
          <w:szCs w:val="24"/>
        </w:rPr>
        <w:t>m iesniegtajiem datiem – piedāvā</w:t>
      </w:r>
      <w:r w:rsidRPr="006913F3">
        <w:rPr>
          <w:rFonts w:ascii="Times New Roman" w:hAnsi="Times New Roman" w:cs="Times New Roman"/>
          <w:sz w:val="24"/>
          <w:szCs w:val="24"/>
        </w:rPr>
        <w:t>tais modelis ievērojami samazinās administratīvo slogu, kas</w:t>
      </w:r>
      <w:r w:rsidR="006A50FD">
        <w:rPr>
          <w:rFonts w:ascii="Times New Roman" w:hAnsi="Times New Roman" w:cs="Times New Roman"/>
          <w:sz w:val="24"/>
          <w:szCs w:val="24"/>
        </w:rPr>
        <w:t xml:space="preserve"> ir saistīts ar šo datu pārbaudi</w:t>
      </w:r>
      <w:r w:rsidRPr="006913F3">
        <w:rPr>
          <w:rFonts w:ascii="Times New Roman" w:hAnsi="Times New Roman" w:cs="Times New Roman"/>
          <w:sz w:val="24"/>
          <w:szCs w:val="24"/>
        </w:rPr>
        <w:t>, kur šobrīd at</w:t>
      </w:r>
      <w:r w:rsidR="00446C0A" w:rsidRPr="006913F3">
        <w:rPr>
          <w:rFonts w:ascii="Times New Roman" w:hAnsi="Times New Roman" w:cs="Times New Roman"/>
          <w:sz w:val="24"/>
          <w:szCs w:val="24"/>
        </w:rPr>
        <w:t>bilstoši normatīvajam regulējam</w:t>
      </w:r>
      <w:r w:rsidRPr="006913F3">
        <w:rPr>
          <w:rFonts w:ascii="Times New Roman" w:hAnsi="Times New Roman" w:cs="Times New Roman"/>
          <w:sz w:val="24"/>
          <w:szCs w:val="24"/>
        </w:rPr>
        <w:t xml:space="preserve"> ir noteikts, ka iesniegto informāciju un tās atbilstību pārbauda zvērināts revidents, ko Izglītības un zinātnes ministrija piesaistījusi, izmantojot publisko iepirkumu. Šobrīd pārbaude gan no zvērināto revidentu puses, gan no zinātnisko institūciju administrācijas puses (informācijas atbilstošā sagatavošanā un publicēšanā Nacionālās zinātniskās darbības informācijas sistēmā</w:t>
      </w:r>
      <w:r w:rsidR="00C50B88" w:rsidRPr="006913F3">
        <w:rPr>
          <w:rFonts w:ascii="Times New Roman" w:hAnsi="Times New Roman" w:cs="Times New Roman"/>
          <w:sz w:val="24"/>
          <w:szCs w:val="24"/>
        </w:rPr>
        <w:t xml:space="preserve"> (turpmāk – NZDIS)</w:t>
      </w:r>
      <w:r w:rsidRPr="006913F3">
        <w:rPr>
          <w:rFonts w:ascii="Times New Roman" w:hAnsi="Times New Roman" w:cs="Times New Roman"/>
          <w:sz w:val="24"/>
          <w:szCs w:val="24"/>
        </w:rPr>
        <w:t xml:space="preserve">) ir ļoti smagnēja, tajā skaitā saistībā ar vairākām specifiskām īpatnībām aprēķinu formulas </w:t>
      </w:r>
      <w:r w:rsidR="00C50B88" w:rsidRPr="006913F3">
        <w:rPr>
          <w:rFonts w:ascii="Times New Roman" w:hAnsi="Times New Roman" w:cs="Times New Roman"/>
          <w:sz w:val="24"/>
          <w:szCs w:val="24"/>
        </w:rPr>
        <w:t>uzbūvē, piemēram:</w:t>
      </w:r>
    </w:p>
    <w:p w14:paraId="72FEBF9D" w14:textId="5C86B373" w:rsidR="0085427C" w:rsidRPr="006913F3" w:rsidRDefault="00CF38AA" w:rsidP="00B87FA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50B88" w:rsidRPr="006913F3">
        <w:rPr>
          <w:rFonts w:ascii="Times New Roman" w:hAnsi="Times New Roman" w:cs="Times New Roman"/>
          <w:sz w:val="24"/>
          <w:szCs w:val="24"/>
        </w:rPr>
        <w:t xml:space="preserve">inātnisko institūciju publikāciju </w:t>
      </w:r>
      <w:r w:rsidR="0085427C" w:rsidRPr="006913F3">
        <w:rPr>
          <w:rFonts w:ascii="Times New Roman" w:hAnsi="Times New Roman" w:cs="Times New Roman"/>
          <w:sz w:val="24"/>
          <w:szCs w:val="24"/>
        </w:rPr>
        <w:t>rezultāti ir piesaistīti nevis pie</w:t>
      </w:r>
      <w:r w:rsidR="00C50B88" w:rsidRPr="006913F3">
        <w:rPr>
          <w:rFonts w:ascii="Times New Roman" w:hAnsi="Times New Roman" w:cs="Times New Roman"/>
          <w:sz w:val="24"/>
          <w:szCs w:val="24"/>
        </w:rPr>
        <w:t xml:space="preserve"> institūcijas, bet tās zinātniskā personāla, kas nozīmē pārbaudi katrai institūcijas publikācijai vai starp tās autoriem ir institūcijas zinātniskais personāls</w:t>
      </w:r>
      <w:r w:rsidR="00B47C19">
        <w:rPr>
          <w:rFonts w:ascii="Times New Roman" w:hAnsi="Times New Roman" w:cs="Times New Roman"/>
          <w:sz w:val="24"/>
          <w:szCs w:val="24"/>
        </w:rPr>
        <w:t>;</w:t>
      </w:r>
    </w:p>
    <w:p w14:paraId="0F341660" w14:textId="369F2D54" w:rsidR="00C50B88" w:rsidRPr="006913F3" w:rsidRDefault="00B47C19" w:rsidP="00B87FA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6913F3">
        <w:rPr>
          <w:rFonts w:ascii="Times New Roman" w:hAnsi="Times New Roman" w:cs="Times New Roman"/>
          <w:sz w:val="24"/>
          <w:szCs w:val="24"/>
        </w:rPr>
        <w:t xml:space="preserve">inātniskā </w:t>
      </w:r>
      <w:r w:rsidR="00C50B88" w:rsidRPr="006913F3">
        <w:rPr>
          <w:rFonts w:ascii="Times New Roman" w:hAnsi="Times New Roman" w:cs="Times New Roman"/>
          <w:sz w:val="24"/>
          <w:szCs w:val="24"/>
        </w:rPr>
        <w:t>personāla un zinātnisko darbinieku PLE aprēķināšana pr</w:t>
      </w:r>
      <w:r w:rsidR="006A50FD">
        <w:rPr>
          <w:rFonts w:ascii="Times New Roman" w:hAnsi="Times New Roman" w:cs="Times New Roman"/>
          <w:sz w:val="24"/>
          <w:szCs w:val="24"/>
        </w:rPr>
        <w:t>asa gan administratīvi sarežģītu</w:t>
      </w:r>
      <w:r w:rsidR="00C50B88" w:rsidRPr="006913F3">
        <w:rPr>
          <w:rFonts w:ascii="Times New Roman" w:hAnsi="Times New Roman" w:cs="Times New Roman"/>
          <w:sz w:val="24"/>
          <w:szCs w:val="24"/>
        </w:rPr>
        <w:t xml:space="preserve"> datu sagatavošanu, kā arī smagnēju šīs informācijas pārbaudi zinātnisko institūciju darba laika uzskaites tabulās.</w:t>
      </w:r>
    </w:p>
    <w:p w14:paraId="2FE30FED" w14:textId="0A6F10DF" w:rsidR="00C50B88" w:rsidRPr="006913F3" w:rsidRDefault="00C50B88" w:rsidP="003D3331">
      <w:pPr>
        <w:spacing w:after="0" w:line="240" w:lineRule="auto"/>
        <w:ind w:firstLine="360"/>
        <w:jc w:val="both"/>
        <w:rPr>
          <w:rFonts w:ascii="Times New Roman" w:hAnsi="Times New Roman" w:cs="Times New Roman"/>
          <w:sz w:val="24"/>
          <w:szCs w:val="24"/>
        </w:rPr>
      </w:pPr>
      <w:r w:rsidRPr="006913F3">
        <w:rPr>
          <w:rFonts w:ascii="Times New Roman" w:hAnsi="Times New Roman" w:cs="Times New Roman"/>
          <w:sz w:val="24"/>
          <w:szCs w:val="24"/>
        </w:rPr>
        <w:t>Ar plānotajām izmaiņām zinātnes bāzes finansējuma aprēķinā abos šajos piemēros būtiski samazinātos datu validācijas administratīvās izmaksas – zinātniskajām publikācijām primāri ņemot informāc</w:t>
      </w:r>
      <w:r w:rsidR="00446C0A" w:rsidRPr="006913F3">
        <w:rPr>
          <w:rFonts w:ascii="Times New Roman" w:hAnsi="Times New Roman" w:cs="Times New Roman"/>
          <w:sz w:val="24"/>
          <w:szCs w:val="24"/>
        </w:rPr>
        <w:t>iju no starptautiskajām datubāzē</w:t>
      </w:r>
      <w:r w:rsidRPr="006913F3">
        <w:rPr>
          <w:rFonts w:ascii="Times New Roman" w:hAnsi="Times New Roman" w:cs="Times New Roman"/>
          <w:sz w:val="24"/>
          <w:szCs w:val="24"/>
        </w:rPr>
        <w:t>m (Web of Science un SCOPUS) vai citiem rezultātu veidiem, kas ir ievadīti NZDIS, pēc primārās pazīmes – institucionālā p</w:t>
      </w:r>
      <w:r w:rsidR="006A50FD">
        <w:rPr>
          <w:rFonts w:ascii="Times New Roman" w:hAnsi="Times New Roman" w:cs="Times New Roman"/>
          <w:sz w:val="24"/>
          <w:szCs w:val="24"/>
        </w:rPr>
        <w:t>iederība, nevis, viena no autoriem</w:t>
      </w:r>
      <w:r w:rsidRPr="006913F3">
        <w:rPr>
          <w:rFonts w:ascii="Times New Roman" w:hAnsi="Times New Roman" w:cs="Times New Roman"/>
          <w:sz w:val="24"/>
          <w:szCs w:val="24"/>
        </w:rPr>
        <w:t xml:space="preserve"> ievēlēšanas fakts institūcijā kā vadošajam pētniekam, pētniekam un zinātniskajam asistentam.</w:t>
      </w:r>
    </w:p>
    <w:p w14:paraId="5765DEB6" w14:textId="139AAE3C" w:rsidR="00C50B88" w:rsidRPr="006913F3" w:rsidRDefault="00C50B88" w:rsidP="003D3331">
      <w:pPr>
        <w:spacing w:after="0" w:line="240" w:lineRule="auto"/>
        <w:ind w:firstLine="360"/>
        <w:jc w:val="both"/>
        <w:rPr>
          <w:rFonts w:ascii="Times New Roman" w:hAnsi="Times New Roman" w:cs="Times New Roman"/>
          <w:sz w:val="24"/>
          <w:szCs w:val="24"/>
        </w:rPr>
      </w:pPr>
      <w:r w:rsidRPr="006913F3">
        <w:rPr>
          <w:rFonts w:ascii="Times New Roman" w:hAnsi="Times New Roman" w:cs="Times New Roman"/>
          <w:sz w:val="24"/>
          <w:szCs w:val="24"/>
        </w:rPr>
        <w:t xml:space="preserve">Zinātniskā personāla un zinātnisko darbinieku PLE aizvietošanā ar atalgojuma komponenti – tas </w:t>
      </w:r>
      <w:r w:rsidR="00B47C19">
        <w:rPr>
          <w:rFonts w:ascii="Times New Roman" w:hAnsi="Times New Roman" w:cs="Times New Roman"/>
          <w:sz w:val="24"/>
          <w:szCs w:val="24"/>
        </w:rPr>
        <w:t>ļaus</w:t>
      </w:r>
      <w:r w:rsidR="00B47C19" w:rsidRPr="006913F3">
        <w:rPr>
          <w:rFonts w:ascii="Times New Roman" w:hAnsi="Times New Roman" w:cs="Times New Roman"/>
          <w:sz w:val="24"/>
          <w:szCs w:val="24"/>
        </w:rPr>
        <w:t xml:space="preserve"> </w:t>
      </w:r>
      <w:r w:rsidRPr="006913F3">
        <w:rPr>
          <w:rFonts w:ascii="Times New Roman" w:hAnsi="Times New Roman" w:cs="Times New Roman"/>
          <w:sz w:val="24"/>
          <w:szCs w:val="24"/>
        </w:rPr>
        <w:t>kā primāro datu avotu izmantot zinātniskās institūcija</w:t>
      </w:r>
      <w:r w:rsidR="00446C0A" w:rsidRPr="006913F3">
        <w:rPr>
          <w:rFonts w:ascii="Times New Roman" w:hAnsi="Times New Roman" w:cs="Times New Roman"/>
          <w:sz w:val="24"/>
          <w:szCs w:val="24"/>
        </w:rPr>
        <w:t>s statistikas pārska</w:t>
      </w:r>
      <w:r w:rsidRPr="006913F3">
        <w:rPr>
          <w:rFonts w:ascii="Times New Roman" w:hAnsi="Times New Roman" w:cs="Times New Roman"/>
          <w:sz w:val="24"/>
          <w:szCs w:val="24"/>
        </w:rPr>
        <w:t>tus attiecībā par tās zinātniekiem izmaksāto atalgojumu, kas nozīmētu pārbaudi nevis katram darbiniekam, bet saistībā ar institūcijas ietvaros noteiktās darba samaksas politikas (un augstskolām – akadēmiskā un zinātniskā darba nodalīšanas) atbilstību.</w:t>
      </w:r>
    </w:p>
    <w:p w14:paraId="149F6377" w14:textId="652BB14A" w:rsidR="00D9078B" w:rsidRPr="006913F3" w:rsidRDefault="003D3331" w:rsidP="003D333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Zinātnes bāzes finansējuma aprēķinā izmantoto datu</w:t>
      </w:r>
      <w:r w:rsidRPr="006913F3">
        <w:rPr>
          <w:rFonts w:ascii="Times New Roman" w:hAnsi="Times New Roman" w:cs="Times New Roman"/>
          <w:sz w:val="24"/>
          <w:szCs w:val="24"/>
        </w:rPr>
        <w:t xml:space="preserve"> </w:t>
      </w:r>
      <w:r w:rsidR="00C50B88" w:rsidRPr="006913F3">
        <w:rPr>
          <w:rFonts w:ascii="Times New Roman" w:hAnsi="Times New Roman" w:cs="Times New Roman"/>
          <w:sz w:val="24"/>
          <w:szCs w:val="24"/>
        </w:rPr>
        <w:t xml:space="preserve">pārbaude joprojām būtu nepieciešama attiecībā par īstenotajiem pētniecības un attīstības projektiem (to finansējuma apmērs, atbilstība </w:t>
      </w:r>
      <w:r w:rsidR="00C50B88" w:rsidRPr="006913F3">
        <w:rPr>
          <w:rFonts w:ascii="Times New Roman" w:hAnsi="Times New Roman" w:cs="Times New Roman"/>
          <w:i/>
          <w:sz w:val="24"/>
          <w:szCs w:val="24"/>
        </w:rPr>
        <w:t>Frascatti manual</w:t>
      </w:r>
      <w:r w:rsidR="00C50B88" w:rsidRPr="006913F3">
        <w:rPr>
          <w:rFonts w:ascii="Times New Roman" w:hAnsi="Times New Roman" w:cs="Times New Roman"/>
          <w:sz w:val="24"/>
          <w:szCs w:val="24"/>
        </w:rPr>
        <w:t xml:space="preserve"> sniegtajai P&amp;A definīcijai un klasifikācija pareizi atbilstošā zinātnes bāzes finansējuma P&amp;A kritērijā), taču uz esošās pārbaudes administratīvā apjoma – tas būtu ļoti ievērojams uzlabojums</w:t>
      </w:r>
      <w:r>
        <w:rPr>
          <w:rFonts w:ascii="Times New Roman" w:hAnsi="Times New Roman" w:cs="Times New Roman"/>
          <w:sz w:val="24"/>
          <w:szCs w:val="24"/>
        </w:rPr>
        <w:t>, kuru ministrijas piesaistīto zvērinātu revidentu vietā varētu veikt Latvijas Zinātnes padome</w:t>
      </w:r>
      <w:r w:rsidR="00C50B88" w:rsidRPr="006913F3">
        <w:rPr>
          <w:rFonts w:ascii="Times New Roman" w:hAnsi="Times New Roman" w:cs="Times New Roman"/>
          <w:sz w:val="24"/>
          <w:szCs w:val="24"/>
        </w:rPr>
        <w:t>.</w:t>
      </w:r>
    </w:p>
    <w:p w14:paraId="5086DB92" w14:textId="7DDEF1B3" w:rsidR="005542B4" w:rsidRDefault="00D9078B" w:rsidP="003D3331">
      <w:pPr>
        <w:spacing w:after="0" w:line="240" w:lineRule="auto"/>
        <w:ind w:firstLine="360"/>
        <w:jc w:val="both"/>
        <w:rPr>
          <w:rFonts w:ascii="Times New Roman" w:hAnsi="Times New Roman" w:cs="Times New Roman"/>
          <w:sz w:val="24"/>
          <w:szCs w:val="24"/>
        </w:rPr>
      </w:pPr>
      <w:r w:rsidRPr="006913F3">
        <w:rPr>
          <w:rFonts w:ascii="Times New Roman" w:hAnsi="Times New Roman" w:cs="Times New Roman"/>
          <w:sz w:val="24"/>
          <w:szCs w:val="24"/>
        </w:rPr>
        <w:t>Piedāvātais</w:t>
      </w:r>
      <w:r w:rsidR="00561ED3" w:rsidRPr="006913F3">
        <w:rPr>
          <w:rFonts w:ascii="Times New Roman" w:hAnsi="Times New Roman" w:cs="Times New Roman"/>
          <w:sz w:val="24"/>
          <w:szCs w:val="24"/>
        </w:rPr>
        <w:t xml:space="preserve"> jaunais zinātnes bāzes finansējuma</w:t>
      </w:r>
      <w:r w:rsidRPr="006913F3">
        <w:rPr>
          <w:rFonts w:ascii="Times New Roman" w:hAnsi="Times New Roman" w:cs="Times New Roman"/>
          <w:sz w:val="24"/>
          <w:szCs w:val="24"/>
        </w:rPr>
        <w:t xml:space="preserve"> modelis </w:t>
      </w:r>
      <w:r w:rsidR="00561ED3" w:rsidRPr="006913F3">
        <w:rPr>
          <w:rFonts w:ascii="Times New Roman" w:hAnsi="Times New Roman" w:cs="Times New Roman"/>
          <w:sz w:val="24"/>
          <w:szCs w:val="24"/>
        </w:rPr>
        <w:t xml:space="preserve">arī </w:t>
      </w:r>
      <w:r w:rsidR="003D3331">
        <w:rPr>
          <w:rFonts w:ascii="Times New Roman" w:hAnsi="Times New Roman" w:cs="Times New Roman"/>
          <w:sz w:val="24"/>
          <w:szCs w:val="24"/>
        </w:rPr>
        <w:t>ir saskanīgs</w:t>
      </w:r>
      <w:r w:rsidR="006A50FD">
        <w:rPr>
          <w:rFonts w:ascii="Times New Roman" w:hAnsi="Times New Roman" w:cs="Times New Roman"/>
          <w:sz w:val="24"/>
          <w:szCs w:val="24"/>
        </w:rPr>
        <w:t xml:space="preserve"> ar 2019.</w:t>
      </w:r>
      <w:r w:rsidR="000B0816">
        <w:rPr>
          <w:rFonts w:ascii="Times New Roman" w:hAnsi="Times New Roman" w:cs="Times New Roman"/>
          <w:sz w:val="24"/>
          <w:szCs w:val="24"/>
        </w:rPr>
        <w:t xml:space="preserve"> </w:t>
      </w:r>
      <w:r w:rsidR="006A50FD">
        <w:rPr>
          <w:rFonts w:ascii="Times New Roman" w:hAnsi="Times New Roman" w:cs="Times New Roman"/>
          <w:sz w:val="24"/>
          <w:szCs w:val="24"/>
        </w:rPr>
        <w:t>gadā</w:t>
      </w:r>
      <w:r w:rsidRPr="006913F3">
        <w:rPr>
          <w:rFonts w:ascii="Times New Roman" w:hAnsi="Times New Roman" w:cs="Times New Roman"/>
          <w:sz w:val="24"/>
          <w:szCs w:val="24"/>
        </w:rPr>
        <w:t xml:space="preserve"> notikuš</w:t>
      </w:r>
      <w:r w:rsidR="00561ED3" w:rsidRPr="006913F3">
        <w:rPr>
          <w:rFonts w:ascii="Times New Roman" w:hAnsi="Times New Roman" w:cs="Times New Roman"/>
          <w:sz w:val="24"/>
          <w:szCs w:val="24"/>
        </w:rPr>
        <w:t>o</w:t>
      </w:r>
      <w:r w:rsidRPr="006913F3">
        <w:rPr>
          <w:rFonts w:ascii="Times New Roman" w:hAnsi="Times New Roman" w:cs="Times New Roman"/>
          <w:sz w:val="24"/>
          <w:szCs w:val="24"/>
        </w:rPr>
        <w:t xml:space="preserve"> diskusiju rezultātu starp Saeimas </w:t>
      </w:r>
      <w:r w:rsidR="003D3331">
        <w:rPr>
          <w:rFonts w:ascii="Times New Roman" w:hAnsi="Times New Roman" w:cs="Times New Roman"/>
          <w:sz w:val="24"/>
          <w:szCs w:val="24"/>
        </w:rPr>
        <w:t>Izglītības, Kultūras un zinātnes</w:t>
      </w:r>
      <w:r w:rsidR="003D3331" w:rsidRPr="006913F3">
        <w:rPr>
          <w:rFonts w:ascii="Times New Roman" w:hAnsi="Times New Roman" w:cs="Times New Roman"/>
          <w:sz w:val="24"/>
          <w:szCs w:val="24"/>
        </w:rPr>
        <w:t xml:space="preserve"> </w:t>
      </w:r>
      <w:r w:rsidRPr="006913F3">
        <w:rPr>
          <w:rFonts w:ascii="Times New Roman" w:hAnsi="Times New Roman" w:cs="Times New Roman"/>
          <w:sz w:val="24"/>
          <w:szCs w:val="24"/>
        </w:rPr>
        <w:t xml:space="preserve">komisiju, </w:t>
      </w:r>
      <w:r w:rsidR="00561ED3" w:rsidRPr="006913F3">
        <w:rPr>
          <w:rFonts w:ascii="Times New Roman" w:hAnsi="Times New Roman" w:cs="Times New Roman"/>
          <w:sz w:val="24"/>
          <w:szCs w:val="24"/>
        </w:rPr>
        <w:t xml:space="preserve"> </w:t>
      </w:r>
      <w:r w:rsidR="003D3331">
        <w:rPr>
          <w:rFonts w:ascii="Times New Roman" w:hAnsi="Times New Roman" w:cs="Times New Roman"/>
          <w:sz w:val="24"/>
          <w:szCs w:val="24"/>
        </w:rPr>
        <w:t>Latvijas Jauno zinātnieku apvienību</w:t>
      </w:r>
      <w:r w:rsidR="00561ED3" w:rsidRPr="006913F3">
        <w:rPr>
          <w:rFonts w:ascii="Times New Roman" w:hAnsi="Times New Roman" w:cs="Times New Roman"/>
          <w:sz w:val="24"/>
          <w:szCs w:val="24"/>
        </w:rPr>
        <w:t xml:space="preserve">, </w:t>
      </w:r>
      <w:r w:rsidR="003D3331">
        <w:rPr>
          <w:rFonts w:ascii="Times New Roman" w:hAnsi="Times New Roman" w:cs="Times New Roman"/>
          <w:sz w:val="24"/>
          <w:szCs w:val="24"/>
        </w:rPr>
        <w:t>ministriju</w:t>
      </w:r>
      <w:r w:rsidR="003D3331" w:rsidRPr="006913F3">
        <w:rPr>
          <w:rFonts w:ascii="Times New Roman" w:hAnsi="Times New Roman" w:cs="Times New Roman"/>
          <w:sz w:val="24"/>
          <w:szCs w:val="24"/>
        </w:rPr>
        <w:t xml:space="preserve"> </w:t>
      </w:r>
      <w:r w:rsidR="00561ED3" w:rsidRPr="006913F3">
        <w:rPr>
          <w:rFonts w:ascii="Times New Roman" w:hAnsi="Times New Roman" w:cs="Times New Roman"/>
          <w:sz w:val="24"/>
          <w:szCs w:val="24"/>
        </w:rPr>
        <w:t>un nozares organizācijām, kā rezultātā kopsavilkums ministrijas piedāvājumam jaunajam zin</w:t>
      </w:r>
      <w:r w:rsidR="005542B4" w:rsidRPr="006913F3">
        <w:rPr>
          <w:rFonts w:ascii="Times New Roman" w:hAnsi="Times New Roman" w:cs="Times New Roman"/>
          <w:sz w:val="24"/>
          <w:szCs w:val="24"/>
        </w:rPr>
        <w:t>ātnes bāzes finansējuma modelim.</w:t>
      </w:r>
    </w:p>
    <w:p w14:paraId="79EC1AC6" w14:textId="77777777" w:rsidR="00B87FAB" w:rsidRPr="006913F3" w:rsidRDefault="00B87FAB" w:rsidP="00B87FAB">
      <w:pPr>
        <w:spacing w:after="0" w:line="240" w:lineRule="auto"/>
        <w:ind w:left="360" w:firstLine="360"/>
        <w:jc w:val="both"/>
        <w:rPr>
          <w:rFonts w:ascii="Times New Roman" w:hAnsi="Times New Roman" w:cs="Times New Roman"/>
          <w:sz w:val="24"/>
          <w:szCs w:val="24"/>
        </w:rPr>
      </w:pPr>
    </w:p>
    <w:p w14:paraId="260759E9" w14:textId="3BFDA01C" w:rsidR="00D9078B" w:rsidRPr="006913F3" w:rsidRDefault="00D36DF5" w:rsidP="00D9078B">
      <w:pPr>
        <w:jc w:val="center"/>
        <w:rPr>
          <w:rFonts w:ascii="Times New Roman" w:hAnsi="Times New Roman" w:cs="Times New Roman"/>
          <w:sz w:val="24"/>
          <w:szCs w:val="24"/>
        </w:rPr>
      </w:pPr>
      <w:r w:rsidRPr="006913F3">
        <w:rPr>
          <w:rFonts w:ascii="Times New Roman" w:hAnsi="Times New Roman" w:cs="Times New Roman"/>
          <w:noProof/>
          <w:sz w:val="24"/>
          <w:szCs w:val="24"/>
          <w:lang w:val="en-GB" w:eastAsia="en-GB"/>
        </w:rPr>
        <w:lastRenderedPageBreak/>
        <w:drawing>
          <wp:inline distT="0" distB="0" distL="0" distR="0" wp14:anchorId="0BF4396D" wp14:editId="53966682">
            <wp:extent cx="6088380" cy="316992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1DFAD5" w14:textId="004DED8F" w:rsidR="00561ED3" w:rsidRPr="006913F3" w:rsidRDefault="00561ED3" w:rsidP="00561ED3">
      <w:pPr>
        <w:rPr>
          <w:rFonts w:ascii="Times New Roman" w:hAnsi="Times New Roman" w:cs="Times New Roman"/>
          <w:sz w:val="24"/>
          <w:szCs w:val="24"/>
        </w:rPr>
      </w:pPr>
      <w:r w:rsidRPr="006913F3">
        <w:rPr>
          <w:rFonts w:ascii="Times New Roman" w:hAnsi="Times New Roman" w:cs="Times New Roman"/>
          <w:b/>
          <w:sz w:val="24"/>
          <w:szCs w:val="24"/>
        </w:rPr>
        <w:t>13.</w:t>
      </w:r>
      <w:r w:rsidR="000B0816">
        <w:rPr>
          <w:rFonts w:ascii="Times New Roman" w:hAnsi="Times New Roman" w:cs="Times New Roman"/>
          <w:b/>
          <w:sz w:val="24"/>
          <w:szCs w:val="24"/>
        </w:rPr>
        <w:t xml:space="preserve"> </w:t>
      </w:r>
      <w:r w:rsidRPr="006913F3">
        <w:rPr>
          <w:rFonts w:ascii="Times New Roman" w:hAnsi="Times New Roman" w:cs="Times New Roman"/>
          <w:b/>
          <w:sz w:val="24"/>
          <w:szCs w:val="24"/>
        </w:rPr>
        <w:t>attēls.</w:t>
      </w:r>
      <w:r w:rsidRPr="006913F3">
        <w:rPr>
          <w:rFonts w:ascii="Times New Roman" w:hAnsi="Times New Roman" w:cs="Times New Roman"/>
          <w:sz w:val="24"/>
          <w:szCs w:val="24"/>
        </w:rPr>
        <w:t xml:space="preserve"> </w:t>
      </w:r>
      <w:r w:rsidR="003D3331">
        <w:rPr>
          <w:rFonts w:ascii="Times New Roman" w:hAnsi="Times New Roman" w:cs="Times New Roman"/>
          <w:sz w:val="24"/>
          <w:szCs w:val="24"/>
        </w:rPr>
        <w:t>Ministrijas</w:t>
      </w:r>
      <w:r w:rsidR="003D3331" w:rsidRPr="006913F3">
        <w:rPr>
          <w:rFonts w:ascii="Times New Roman" w:hAnsi="Times New Roman" w:cs="Times New Roman"/>
          <w:sz w:val="24"/>
          <w:szCs w:val="24"/>
        </w:rPr>
        <w:t xml:space="preserve"> </w:t>
      </w:r>
      <w:r w:rsidRPr="006913F3">
        <w:rPr>
          <w:rFonts w:ascii="Times New Roman" w:hAnsi="Times New Roman" w:cs="Times New Roman"/>
          <w:sz w:val="24"/>
          <w:szCs w:val="24"/>
        </w:rPr>
        <w:t>piedāvātā zinātnes bāzes finansējuma modeļa k</w:t>
      </w:r>
      <w:r w:rsidR="007C7CC3">
        <w:rPr>
          <w:rFonts w:ascii="Times New Roman" w:hAnsi="Times New Roman" w:cs="Times New Roman"/>
          <w:sz w:val="24"/>
          <w:szCs w:val="24"/>
        </w:rPr>
        <w:t>opsavilkums</w:t>
      </w:r>
    </w:p>
    <w:p w14:paraId="5F52A774" w14:textId="77777777" w:rsidR="00D9078B" w:rsidRPr="006913F3" w:rsidRDefault="00D9078B" w:rsidP="00D9078B">
      <w:pPr>
        <w:jc w:val="center"/>
        <w:rPr>
          <w:rFonts w:ascii="Times New Roman" w:hAnsi="Times New Roman" w:cs="Times New Roman"/>
          <w:sz w:val="24"/>
          <w:szCs w:val="24"/>
        </w:rPr>
      </w:pPr>
    </w:p>
    <w:p w14:paraId="567E5FE8" w14:textId="489F279E" w:rsidR="00D9078B" w:rsidRPr="006913F3" w:rsidRDefault="00D9078B" w:rsidP="00C81D81">
      <w:pPr>
        <w:ind w:firstLine="720"/>
        <w:jc w:val="both"/>
        <w:rPr>
          <w:rFonts w:ascii="Times New Roman" w:hAnsi="Times New Roman" w:cs="Times New Roman"/>
          <w:sz w:val="24"/>
          <w:szCs w:val="24"/>
        </w:rPr>
      </w:pPr>
      <w:r w:rsidRPr="006913F3">
        <w:rPr>
          <w:rFonts w:ascii="Times New Roman" w:hAnsi="Times New Roman" w:cs="Times New Roman"/>
          <w:sz w:val="24"/>
          <w:szCs w:val="24"/>
        </w:rPr>
        <w:t>Šajā ziņojumā piedāvātais modelis ir līdzīgs 2019.</w:t>
      </w:r>
      <w:r w:rsidR="00C81D81">
        <w:rPr>
          <w:rFonts w:ascii="Times New Roman" w:hAnsi="Times New Roman" w:cs="Times New Roman"/>
          <w:sz w:val="24"/>
          <w:szCs w:val="24"/>
        </w:rPr>
        <w:t xml:space="preserve"> </w:t>
      </w:r>
      <w:r w:rsidRPr="006913F3">
        <w:rPr>
          <w:rFonts w:ascii="Times New Roman" w:hAnsi="Times New Roman" w:cs="Times New Roman"/>
          <w:sz w:val="24"/>
          <w:szCs w:val="24"/>
        </w:rPr>
        <w:t xml:space="preserve">gada piedāvājumam, pirmkārt, </w:t>
      </w:r>
      <w:r w:rsidR="00561ED3" w:rsidRPr="006913F3">
        <w:rPr>
          <w:rFonts w:ascii="Times New Roman" w:hAnsi="Times New Roman" w:cs="Times New Roman"/>
          <w:sz w:val="24"/>
          <w:szCs w:val="24"/>
        </w:rPr>
        <w:t xml:space="preserve">būtiski </w:t>
      </w:r>
      <w:r w:rsidRPr="006913F3">
        <w:rPr>
          <w:rFonts w:ascii="Times New Roman" w:hAnsi="Times New Roman" w:cs="Times New Roman"/>
          <w:sz w:val="24"/>
          <w:szCs w:val="24"/>
        </w:rPr>
        <w:t>palielinot snieguma daļu (pēc līdzīgiem principiem</w:t>
      </w:r>
      <w:r w:rsidR="00561ED3" w:rsidRPr="006913F3">
        <w:rPr>
          <w:rFonts w:ascii="Times New Roman" w:hAnsi="Times New Roman" w:cs="Times New Roman"/>
          <w:sz w:val="24"/>
          <w:szCs w:val="24"/>
        </w:rPr>
        <w:t>, tos papildinot pēc nepieciešamības</w:t>
      </w:r>
      <w:r w:rsidRPr="006913F3">
        <w:rPr>
          <w:rFonts w:ascii="Times New Roman" w:hAnsi="Times New Roman" w:cs="Times New Roman"/>
          <w:sz w:val="24"/>
          <w:szCs w:val="24"/>
        </w:rPr>
        <w:t xml:space="preserve">), otrkārt, nodrošinot prognozējamu pamata finansējumu. </w:t>
      </w:r>
      <w:r w:rsidR="00561ED3" w:rsidRPr="006913F3">
        <w:rPr>
          <w:rFonts w:ascii="Times New Roman" w:hAnsi="Times New Roman" w:cs="Times New Roman"/>
          <w:sz w:val="24"/>
          <w:szCs w:val="24"/>
        </w:rPr>
        <w:t xml:space="preserve">Ziņojumā piedāvātais </w:t>
      </w:r>
      <w:r w:rsidR="0091537D" w:rsidRPr="006913F3">
        <w:rPr>
          <w:rFonts w:ascii="Times New Roman" w:hAnsi="Times New Roman" w:cs="Times New Roman"/>
          <w:sz w:val="24"/>
          <w:szCs w:val="24"/>
        </w:rPr>
        <w:t>modeli</w:t>
      </w:r>
      <w:r w:rsidR="0091537D">
        <w:rPr>
          <w:rFonts w:ascii="Times New Roman" w:hAnsi="Times New Roman" w:cs="Times New Roman"/>
          <w:sz w:val="24"/>
          <w:szCs w:val="24"/>
        </w:rPr>
        <w:t>s</w:t>
      </w:r>
      <w:r w:rsidR="0091537D" w:rsidRPr="006913F3">
        <w:rPr>
          <w:rFonts w:ascii="Times New Roman" w:hAnsi="Times New Roman" w:cs="Times New Roman"/>
          <w:sz w:val="24"/>
          <w:szCs w:val="24"/>
        </w:rPr>
        <w:t xml:space="preserve"> </w:t>
      </w:r>
      <w:r w:rsidR="00561ED3" w:rsidRPr="006913F3">
        <w:rPr>
          <w:rFonts w:ascii="Times New Roman" w:hAnsi="Times New Roman" w:cs="Times New Roman"/>
          <w:sz w:val="24"/>
          <w:szCs w:val="24"/>
        </w:rPr>
        <w:t>arī</w:t>
      </w:r>
      <w:r w:rsidRPr="006913F3">
        <w:rPr>
          <w:rFonts w:ascii="Times New Roman" w:hAnsi="Times New Roman" w:cs="Times New Roman"/>
          <w:sz w:val="24"/>
          <w:szCs w:val="24"/>
        </w:rPr>
        <w:t xml:space="preserve"> piedāvāta </w:t>
      </w:r>
      <w:r w:rsidR="00561ED3" w:rsidRPr="006913F3">
        <w:rPr>
          <w:rFonts w:ascii="Times New Roman" w:hAnsi="Times New Roman" w:cs="Times New Roman"/>
          <w:sz w:val="24"/>
          <w:szCs w:val="24"/>
        </w:rPr>
        <w:t xml:space="preserve">pamata finansējuma tiešu </w:t>
      </w:r>
      <w:r w:rsidRPr="006913F3">
        <w:rPr>
          <w:rFonts w:ascii="Times New Roman" w:hAnsi="Times New Roman" w:cs="Times New Roman"/>
          <w:sz w:val="24"/>
          <w:szCs w:val="24"/>
        </w:rPr>
        <w:t xml:space="preserve">sasaisti ar institūcijas ietvaros izmaksāto atalgojuma apmēru, kas institūcijām iedod lielu </w:t>
      </w:r>
      <w:r w:rsidR="00446C0A" w:rsidRPr="006913F3">
        <w:rPr>
          <w:rFonts w:ascii="Times New Roman" w:hAnsi="Times New Roman" w:cs="Times New Roman"/>
          <w:sz w:val="24"/>
          <w:szCs w:val="24"/>
        </w:rPr>
        <w:t>autonomiju</w:t>
      </w:r>
      <w:r w:rsidRPr="006913F3">
        <w:rPr>
          <w:rFonts w:ascii="Times New Roman" w:hAnsi="Times New Roman" w:cs="Times New Roman"/>
          <w:sz w:val="24"/>
          <w:szCs w:val="24"/>
        </w:rPr>
        <w:t xml:space="preserve"> iekšējo procesu vadībai un </w:t>
      </w:r>
      <w:r w:rsidR="00561ED3" w:rsidRPr="006913F3">
        <w:rPr>
          <w:rFonts w:ascii="Times New Roman" w:hAnsi="Times New Roman" w:cs="Times New Roman"/>
          <w:sz w:val="24"/>
          <w:szCs w:val="24"/>
        </w:rPr>
        <w:t>ieviešanai (jo nav vairs stimuls</w:t>
      </w:r>
      <w:r w:rsidRPr="006913F3">
        <w:rPr>
          <w:rFonts w:ascii="Times New Roman" w:hAnsi="Times New Roman" w:cs="Times New Roman"/>
          <w:sz w:val="24"/>
          <w:szCs w:val="24"/>
        </w:rPr>
        <w:t xml:space="preserve"> mākslīgi uzturēt lielu skaitu </w:t>
      </w:r>
      <w:r w:rsidR="00561ED3" w:rsidRPr="006913F3">
        <w:rPr>
          <w:rFonts w:ascii="Times New Roman" w:hAnsi="Times New Roman" w:cs="Times New Roman"/>
          <w:sz w:val="24"/>
          <w:szCs w:val="24"/>
        </w:rPr>
        <w:t xml:space="preserve">zinātnisko darbinieku </w:t>
      </w:r>
      <w:r w:rsidRPr="006913F3">
        <w:rPr>
          <w:rFonts w:ascii="Times New Roman" w:hAnsi="Times New Roman" w:cs="Times New Roman"/>
          <w:sz w:val="24"/>
          <w:szCs w:val="24"/>
        </w:rPr>
        <w:t xml:space="preserve">PLE). </w:t>
      </w:r>
    </w:p>
    <w:p w14:paraId="3CE25E89" w14:textId="77777777" w:rsidR="00D9078B" w:rsidRPr="006913F3" w:rsidRDefault="00D9078B" w:rsidP="00D9078B">
      <w:pPr>
        <w:jc w:val="center"/>
        <w:rPr>
          <w:rFonts w:ascii="Times New Roman" w:hAnsi="Times New Roman" w:cs="Times New Roman"/>
          <w:sz w:val="24"/>
          <w:szCs w:val="24"/>
        </w:rPr>
      </w:pPr>
    </w:p>
    <w:p w14:paraId="7B1B9FE1" w14:textId="6D469D2A" w:rsidR="00D6298C" w:rsidRPr="006913F3" w:rsidRDefault="00C81D81" w:rsidP="00C81D81">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52650E" w:rsidRPr="006913F3">
        <w:rPr>
          <w:rFonts w:ascii="Times New Roman" w:hAnsi="Times New Roman" w:cs="Times New Roman"/>
          <w:b/>
          <w:sz w:val="24"/>
          <w:szCs w:val="24"/>
        </w:rPr>
        <w:t>Studiju finansēj</w:t>
      </w:r>
      <w:r>
        <w:rPr>
          <w:rFonts w:ascii="Times New Roman" w:hAnsi="Times New Roman" w:cs="Times New Roman"/>
          <w:b/>
          <w:sz w:val="24"/>
          <w:szCs w:val="24"/>
        </w:rPr>
        <w:t>uma sasaiste ar starptautisko no</w:t>
      </w:r>
      <w:r w:rsidR="0052650E" w:rsidRPr="006913F3">
        <w:rPr>
          <w:rFonts w:ascii="Times New Roman" w:hAnsi="Times New Roman" w:cs="Times New Roman"/>
          <w:b/>
          <w:sz w:val="24"/>
          <w:szCs w:val="24"/>
        </w:rPr>
        <w:t>vērtējumu</w:t>
      </w:r>
    </w:p>
    <w:p w14:paraId="6B3920BF" w14:textId="77777777" w:rsidR="00D6298C" w:rsidRPr="006913F3" w:rsidRDefault="00D6298C" w:rsidP="00934850">
      <w:pPr>
        <w:jc w:val="both"/>
        <w:rPr>
          <w:rFonts w:ascii="Times New Roman" w:hAnsi="Times New Roman" w:cs="Times New Roman"/>
          <w:sz w:val="24"/>
          <w:szCs w:val="24"/>
        </w:rPr>
      </w:pPr>
    </w:p>
    <w:p w14:paraId="09AA2598" w14:textId="2834E56B" w:rsidR="00D6298C" w:rsidRPr="006913F3" w:rsidRDefault="00561ED3" w:rsidP="00C81D81">
      <w:pPr>
        <w:ind w:firstLine="720"/>
        <w:jc w:val="both"/>
        <w:rPr>
          <w:rFonts w:ascii="Times New Roman" w:hAnsi="Times New Roman" w:cs="Times New Roman"/>
          <w:sz w:val="24"/>
          <w:szCs w:val="24"/>
        </w:rPr>
      </w:pPr>
      <w:r w:rsidRPr="006913F3">
        <w:rPr>
          <w:rFonts w:ascii="Times New Roman" w:hAnsi="Times New Roman" w:cs="Times New Roman"/>
          <w:sz w:val="24"/>
          <w:szCs w:val="24"/>
        </w:rPr>
        <w:t>Attiecībā pa</w:t>
      </w:r>
      <w:r w:rsidR="00446C0A" w:rsidRPr="006913F3">
        <w:rPr>
          <w:rFonts w:ascii="Times New Roman" w:hAnsi="Times New Roman" w:cs="Times New Roman"/>
          <w:sz w:val="24"/>
          <w:szCs w:val="24"/>
        </w:rPr>
        <w:t>r studiju finansējumu ir piedāvā</w:t>
      </w:r>
      <w:r w:rsidRPr="006913F3">
        <w:rPr>
          <w:rFonts w:ascii="Times New Roman" w:hAnsi="Times New Roman" w:cs="Times New Roman"/>
          <w:sz w:val="24"/>
          <w:szCs w:val="24"/>
        </w:rPr>
        <w:t>jums n</w:t>
      </w:r>
      <w:r w:rsidR="00D6298C" w:rsidRPr="006913F3">
        <w:rPr>
          <w:rFonts w:ascii="Times New Roman" w:hAnsi="Times New Roman" w:cs="Times New Roman"/>
          <w:sz w:val="24"/>
          <w:szCs w:val="24"/>
        </w:rPr>
        <w:t>oteikt</w:t>
      </w:r>
      <w:r w:rsidRPr="006913F3">
        <w:rPr>
          <w:rFonts w:ascii="Times New Roman" w:hAnsi="Times New Roman" w:cs="Times New Roman"/>
          <w:sz w:val="24"/>
          <w:szCs w:val="24"/>
        </w:rPr>
        <w:t xml:space="preserve"> 2006.</w:t>
      </w:r>
      <w:r w:rsidR="00C81D81">
        <w:rPr>
          <w:rFonts w:ascii="Times New Roman" w:hAnsi="Times New Roman" w:cs="Times New Roman"/>
          <w:sz w:val="24"/>
          <w:szCs w:val="24"/>
        </w:rPr>
        <w:t xml:space="preserve"> </w:t>
      </w:r>
      <w:r w:rsidRPr="006913F3">
        <w:rPr>
          <w:rFonts w:ascii="Times New Roman" w:hAnsi="Times New Roman" w:cs="Times New Roman"/>
          <w:sz w:val="24"/>
          <w:szCs w:val="24"/>
        </w:rPr>
        <w:t>gada 12.</w:t>
      </w:r>
      <w:r w:rsidR="00C81D81">
        <w:rPr>
          <w:rFonts w:ascii="Times New Roman" w:hAnsi="Times New Roman" w:cs="Times New Roman"/>
          <w:sz w:val="24"/>
          <w:szCs w:val="24"/>
        </w:rPr>
        <w:t xml:space="preserve"> </w:t>
      </w:r>
      <w:r w:rsidRPr="006913F3">
        <w:rPr>
          <w:rFonts w:ascii="Times New Roman" w:hAnsi="Times New Roman" w:cs="Times New Roman"/>
          <w:sz w:val="24"/>
          <w:szCs w:val="24"/>
        </w:rPr>
        <w:t xml:space="preserve">decembra Ministru </w:t>
      </w:r>
      <w:r w:rsidR="0091537D">
        <w:rPr>
          <w:rFonts w:ascii="Times New Roman" w:hAnsi="Times New Roman" w:cs="Times New Roman"/>
          <w:sz w:val="24"/>
          <w:szCs w:val="24"/>
        </w:rPr>
        <w:t>k</w:t>
      </w:r>
      <w:r w:rsidRPr="006913F3">
        <w:rPr>
          <w:rFonts w:ascii="Times New Roman" w:hAnsi="Times New Roman" w:cs="Times New Roman"/>
          <w:sz w:val="24"/>
          <w:szCs w:val="24"/>
        </w:rPr>
        <w:t xml:space="preserve">abineta noteikumos </w:t>
      </w:r>
      <w:r w:rsidR="00C81D81" w:rsidRPr="00292FE6">
        <w:rPr>
          <w:rFonts w:ascii="Times New Roman" w:hAnsi="Times New Roman" w:cs="Times New Roman"/>
          <w:sz w:val="24"/>
          <w:szCs w:val="24"/>
        </w:rPr>
        <w:t>Nr. 994</w:t>
      </w:r>
      <w:r w:rsidR="00C81D81">
        <w:rPr>
          <w:rFonts w:ascii="Times New Roman" w:hAnsi="Times New Roman" w:cs="Times New Roman"/>
          <w:sz w:val="24"/>
          <w:szCs w:val="24"/>
        </w:rPr>
        <w:t xml:space="preserve"> </w:t>
      </w:r>
      <w:r w:rsidRPr="006913F3">
        <w:rPr>
          <w:rFonts w:ascii="Times New Roman" w:hAnsi="Times New Roman" w:cs="Times New Roman"/>
          <w:sz w:val="24"/>
          <w:szCs w:val="24"/>
        </w:rPr>
        <w:t xml:space="preserve">„Kārtība, kādā augstskolas un koledžas tiek finansētas no valsts budžeta līdzekļiem”, ieviešot zinātnisko institūciju starptautiskā novērtējuma sasaisti ar augstākās izglītības finansēšanas kārtību tiešu </w:t>
      </w:r>
      <w:r w:rsidR="00D6298C" w:rsidRPr="006913F3">
        <w:rPr>
          <w:rFonts w:ascii="Times New Roman" w:hAnsi="Times New Roman" w:cs="Times New Roman"/>
          <w:sz w:val="24"/>
          <w:szCs w:val="24"/>
        </w:rPr>
        <w:t>sasaisti ar 2019.</w:t>
      </w:r>
      <w:r w:rsidR="00C81D81">
        <w:rPr>
          <w:rFonts w:ascii="Times New Roman" w:hAnsi="Times New Roman" w:cs="Times New Roman"/>
          <w:sz w:val="24"/>
          <w:szCs w:val="24"/>
        </w:rPr>
        <w:t xml:space="preserve"> </w:t>
      </w:r>
      <w:r w:rsidR="00D6298C" w:rsidRPr="006913F3">
        <w:rPr>
          <w:rFonts w:ascii="Times New Roman" w:hAnsi="Times New Roman" w:cs="Times New Roman"/>
          <w:sz w:val="24"/>
          <w:szCs w:val="24"/>
        </w:rPr>
        <w:t xml:space="preserve">gada </w:t>
      </w:r>
      <w:r w:rsidR="00292FE6">
        <w:rPr>
          <w:rFonts w:ascii="Times New Roman" w:hAnsi="Times New Roman" w:cs="Times New Roman"/>
          <w:sz w:val="24"/>
          <w:szCs w:val="24"/>
        </w:rPr>
        <w:t>novērt</w:t>
      </w:r>
      <w:r w:rsidR="00D6298C" w:rsidRPr="006913F3">
        <w:rPr>
          <w:rFonts w:ascii="Times New Roman" w:hAnsi="Times New Roman" w:cs="Times New Roman"/>
          <w:sz w:val="24"/>
          <w:szCs w:val="24"/>
        </w:rPr>
        <w:t xml:space="preserve">ējumu, </w:t>
      </w:r>
      <w:r w:rsidR="00D6298C" w:rsidRPr="003D3331">
        <w:rPr>
          <w:rFonts w:ascii="Times New Roman" w:hAnsi="Times New Roman" w:cs="Times New Roman"/>
          <w:sz w:val="24"/>
          <w:szCs w:val="24"/>
        </w:rPr>
        <w:t xml:space="preserve">nosakot, ka valsts nefinansē tās </w:t>
      </w:r>
      <w:r w:rsidR="0091537D" w:rsidRPr="003D3331">
        <w:rPr>
          <w:rFonts w:ascii="Times New Roman" w:hAnsi="Times New Roman" w:cs="Times New Roman"/>
          <w:sz w:val="24"/>
          <w:szCs w:val="24"/>
        </w:rPr>
        <w:t>augstskolas</w:t>
      </w:r>
      <w:r w:rsidR="00292FE6" w:rsidRPr="003D3331">
        <w:rPr>
          <w:rFonts w:ascii="Times New Roman" w:hAnsi="Times New Roman" w:cs="Times New Roman"/>
          <w:sz w:val="24"/>
          <w:szCs w:val="24"/>
        </w:rPr>
        <w:t>,</w:t>
      </w:r>
      <w:r w:rsidR="00D6298C" w:rsidRPr="003D3331">
        <w:rPr>
          <w:rFonts w:ascii="Times New Roman" w:hAnsi="Times New Roman" w:cs="Times New Roman"/>
          <w:sz w:val="24"/>
          <w:szCs w:val="24"/>
        </w:rPr>
        <w:t xml:space="preserve"> kurām</w:t>
      </w:r>
      <w:r w:rsidR="00292FE6" w:rsidRPr="003D3331">
        <w:rPr>
          <w:rFonts w:ascii="Times New Roman" w:hAnsi="Times New Roman" w:cs="Times New Roman"/>
          <w:sz w:val="24"/>
          <w:szCs w:val="24"/>
        </w:rPr>
        <w:t xml:space="preserve"> novērtējuma</w:t>
      </w:r>
      <w:r w:rsidR="00D6298C" w:rsidRPr="003D3331">
        <w:rPr>
          <w:rFonts w:ascii="Times New Roman" w:hAnsi="Times New Roman" w:cs="Times New Roman"/>
          <w:sz w:val="24"/>
          <w:szCs w:val="24"/>
        </w:rPr>
        <w:t xml:space="preserve"> rezultāti ir </w:t>
      </w:r>
      <w:r w:rsidR="00313C0D" w:rsidRPr="003D3331">
        <w:rPr>
          <w:rFonts w:ascii="Times New Roman" w:hAnsi="Times New Roman" w:cs="Times New Roman"/>
          <w:sz w:val="24"/>
          <w:szCs w:val="24"/>
        </w:rPr>
        <w:t>2 vai mazāk</w:t>
      </w:r>
      <w:r w:rsidRPr="003D3331">
        <w:rPr>
          <w:rFonts w:ascii="Times New Roman" w:hAnsi="Times New Roman" w:cs="Times New Roman"/>
          <w:sz w:val="24"/>
          <w:szCs w:val="24"/>
        </w:rPr>
        <w:t xml:space="preserve"> (atbilstoši šī ziņojuma 2. principa specifiskajai sasaistei ar augstskolai noteikto tipu)</w:t>
      </w:r>
      <w:r w:rsidR="00313C0D" w:rsidRPr="003D3331">
        <w:rPr>
          <w:rFonts w:ascii="Times New Roman" w:hAnsi="Times New Roman" w:cs="Times New Roman"/>
          <w:sz w:val="24"/>
          <w:szCs w:val="24"/>
        </w:rPr>
        <w:t>, papildus nosakot skaidru tālāko sasaisti</w:t>
      </w:r>
      <w:r w:rsidR="00313C0D" w:rsidRPr="006913F3">
        <w:rPr>
          <w:rFonts w:ascii="Times New Roman" w:hAnsi="Times New Roman" w:cs="Times New Roman"/>
          <w:sz w:val="24"/>
          <w:szCs w:val="24"/>
        </w:rPr>
        <w:t xml:space="preserve"> ar 2025.</w:t>
      </w:r>
      <w:r w:rsidR="00C81D81">
        <w:rPr>
          <w:rFonts w:ascii="Times New Roman" w:hAnsi="Times New Roman" w:cs="Times New Roman"/>
          <w:sz w:val="24"/>
          <w:szCs w:val="24"/>
        </w:rPr>
        <w:t xml:space="preserve"> </w:t>
      </w:r>
      <w:r w:rsidR="00313C0D" w:rsidRPr="006913F3">
        <w:rPr>
          <w:rFonts w:ascii="Times New Roman" w:hAnsi="Times New Roman" w:cs="Times New Roman"/>
          <w:sz w:val="24"/>
          <w:szCs w:val="24"/>
        </w:rPr>
        <w:t xml:space="preserve">gada </w:t>
      </w:r>
      <w:r w:rsidR="00292FE6">
        <w:rPr>
          <w:rFonts w:ascii="Times New Roman" w:hAnsi="Times New Roman" w:cs="Times New Roman"/>
          <w:sz w:val="24"/>
          <w:szCs w:val="24"/>
        </w:rPr>
        <w:t>novērtējumu.</w:t>
      </w:r>
    </w:p>
    <w:p w14:paraId="46565329" w14:textId="47B3DFD4" w:rsidR="00B51BF9" w:rsidRPr="003D3331" w:rsidRDefault="00D6298C" w:rsidP="00C81D81">
      <w:pPr>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Šis attiektos gan uz valsts budžeta </w:t>
      </w:r>
      <w:r w:rsidRPr="003D3331">
        <w:rPr>
          <w:rFonts w:ascii="Times New Roman" w:hAnsi="Times New Roman" w:cs="Times New Roman"/>
          <w:sz w:val="24"/>
          <w:szCs w:val="24"/>
        </w:rPr>
        <w:t xml:space="preserve">vietām, gan </w:t>
      </w:r>
      <w:r w:rsidR="00561ED3" w:rsidRPr="003D3331">
        <w:rPr>
          <w:rFonts w:ascii="Times New Roman" w:hAnsi="Times New Roman" w:cs="Times New Roman"/>
          <w:sz w:val="24"/>
          <w:szCs w:val="24"/>
        </w:rPr>
        <w:t>augstskolu snieguma finansējumu un l</w:t>
      </w:r>
      <w:r w:rsidR="00B51BF9" w:rsidRPr="003D3331">
        <w:rPr>
          <w:rFonts w:ascii="Times New Roman" w:hAnsi="Times New Roman" w:cs="Times New Roman"/>
          <w:sz w:val="24"/>
          <w:szCs w:val="24"/>
        </w:rPr>
        <w:t xml:space="preserve">īdzīgi kā ar zinātnes bāzes finansējumu – </w:t>
      </w:r>
      <w:r w:rsidR="00561ED3" w:rsidRPr="003D3331">
        <w:rPr>
          <w:rFonts w:ascii="Times New Roman" w:hAnsi="Times New Roman" w:cs="Times New Roman"/>
          <w:sz w:val="24"/>
          <w:szCs w:val="24"/>
        </w:rPr>
        <w:t>tas būtu tālāk tieši sasaistīts</w:t>
      </w:r>
      <w:r w:rsidR="00B51BF9" w:rsidRPr="003D3331">
        <w:rPr>
          <w:rFonts w:ascii="Times New Roman" w:hAnsi="Times New Roman" w:cs="Times New Roman"/>
          <w:sz w:val="24"/>
          <w:szCs w:val="24"/>
        </w:rPr>
        <w:t xml:space="preserve"> ar </w:t>
      </w:r>
      <w:r w:rsidR="003D3331" w:rsidRPr="003D3331">
        <w:rPr>
          <w:rFonts w:ascii="Times New Roman" w:hAnsi="Times New Roman" w:cs="Times New Roman"/>
          <w:sz w:val="24"/>
          <w:szCs w:val="24"/>
        </w:rPr>
        <w:t xml:space="preserve">Eiropas Savienības Atveseļošanas un noturības mehānisma </w:t>
      </w:r>
      <w:r w:rsidR="00B51BF9" w:rsidRPr="003D3331">
        <w:rPr>
          <w:rFonts w:ascii="Times New Roman" w:hAnsi="Times New Roman" w:cs="Times New Roman"/>
          <w:sz w:val="24"/>
          <w:szCs w:val="24"/>
        </w:rPr>
        <w:t xml:space="preserve">plānu un tajā pieejamo atbalstu </w:t>
      </w:r>
      <w:r w:rsidR="003D3331" w:rsidRPr="003D3331">
        <w:rPr>
          <w:rFonts w:ascii="Times New Roman" w:hAnsi="Times New Roman" w:cs="Times New Roman"/>
          <w:sz w:val="24"/>
          <w:szCs w:val="24"/>
        </w:rPr>
        <w:t xml:space="preserve">augstskolu </w:t>
      </w:r>
      <w:r w:rsidR="00B51BF9" w:rsidRPr="003D3331">
        <w:rPr>
          <w:rFonts w:ascii="Times New Roman" w:hAnsi="Times New Roman" w:cs="Times New Roman"/>
          <w:sz w:val="24"/>
          <w:szCs w:val="24"/>
        </w:rPr>
        <w:t>pārvaldībai.</w:t>
      </w:r>
    </w:p>
    <w:p w14:paraId="42D1C954" w14:textId="60D7B6E9" w:rsidR="00313C0D" w:rsidRPr="006913F3" w:rsidRDefault="00313C0D" w:rsidP="00934850">
      <w:pPr>
        <w:jc w:val="both"/>
        <w:rPr>
          <w:rFonts w:ascii="Times New Roman" w:hAnsi="Times New Roman" w:cs="Times New Roman"/>
          <w:sz w:val="24"/>
          <w:szCs w:val="24"/>
        </w:rPr>
      </w:pPr>
      <w:r w:rsidRPr="003D3331">
        <w:rPr>
          <w:rFonts w:ascii="Times New Roman" w:hAnsi="Times New Roman" w:cs="Times New Roman"/>
          <w:sz w:val="24"/>
          <w:szCs w:val="24"/>
        </w:rPr>
        <w:t xml:space="preserve">Augstskolas, kurās nav sasniegtas atbilstošās starptautiskā </w:t>
      </w:r>
      <w:r w:rsidR="00292FE6" w:rsidRPr="003D3331">
        <w:rPr>
          <w:rFonts w:ascii="Times New Roman" w:hAnsi="Times New Roman" w:cs="Times New Roman"/>
          <w:sz w:val="24"/>
          <w:szCs w:val="24"/>
        </w:rPr>
        <w:t>novērtējum</w:t>
      </w:r>
      <w:r w:rsidRPr="003D3331">
        <w:rPr>
          <w:rFonts w:ascii="Times New Roman" w:hAnsi="Times New Roman" w:cs="Times New Roman"/>
          <w:sz w:val="24"/>
          <w:szCs w:val="24"/>
        </w:rPr>
        <w:t>a</w:t>
      </w:r>
      <w:r w:rsidRPr="006913F3">
        <w:rPr>
          <w:rFonts w:ascii="Times New Roman" w:hAnsi="Times New Roman" w:cs="Times New Roman"/>
          <w:sz w:val="24"/>
          <w:szCs w:val="24"/>
        </w:rPr>
        <w:t xml:space="preserve"> rezultātu vērtības un nepiedalās ANM plāna aktivitātēs:</w:t>
      </w:r>
    </w:p>
    <w:p w14:paraId="311B9297" w14:textId="0C28DF7B" w:rsidR="00313C0D" w:rsidRPr="006913F3" w:rsidRDefault="00313C0D" w:rsidP="00934850">
      <w:pPr>
        <w:jc w:val="both"/>
        <w:rPr>
          <w:rFonts w:ascii="Times New Roman" w:hAnsi="Times New Roman" w:cs="Times New Roman"/>
          <w:sz w:val="24"/>
          <w:szCs w:val="24"/>
        </w:rPr>
      </w:pPr>
      <w:r w:rsidRPr="006913F3">
        <w:rPr>
          <w:rFonts w:ascii="Times New Roman" w:hAnsi="Times New Roman" w:cs="Times New Roman"/>
          <w:sz w:val="24"/>
          <w:szCs w:val="24"/>
        </w:rPr>
        <w:t>a) nevar pretendēt uz augstskolu snieguma finansējuma saņemšanu</w:t>
      </w:r>
      <w:r w:rsidR="00CF38AA">
        <w:rPr>
          <w:rFonts w:ascii="Times New Roman" w:hAnsi="Times New Roman" w:cs="Times New Roman"/>
          <w:sz w:val="24"/>
          <w:szCs w:val="24"/>
        </w:rPr>
        <w:t>;</w:t>
      </w:r>
    </w:p>
    <w:p w14:paraId="3C62045A" w14:textId="3F1CECC9" w:rsidR="00313C0D" w:rsidRPr="006913F3" w:rsidRDefault="00313C0D" w:rsidP="0091537D">
      <w:pPr>
        <w:jc w:val="both"/>
        <w:rPr>
          <w:rFonts w:ascii="Times New Roman" w:hAnsi="Times New Roman" w:cs="Times New Roman"/>
          <w:sz w:val="24"/>
          <w:szCs w:val="24"/>
        </w:rPr>
      </w:pPr>
      <w:r w:rsidRPr="006913F3">
        <w:rPr>
          <w:rFonts w:ascii="Times New Roman" w:hAnsi="Times New Roman" w:cs="Times New Roman"/>
          <w:sz w:val="24"/>
          <w:szCs w:val="24"/>
        </w:rPr>
        <w:lastRenderedPageBreak/>
        <w:t>b) nevar uzņemt jaunus studentus valsts budžeta vietās par valsts budžeta līdzekļiem</w:t>
      </w:r>
      <w:r w:rsidR="0091537D">
        <w:rPr>
          <w:rFonts w:ascii="Times New Roman" w:hAnsi="Times New Roman" w:cs="Times New Roman"/>
          <w:sz w:val="24"/>
          <w:szCs w:val="24"/>
        </w:rPr>
        <w:t>. Š</w:t>
      </w:r>
      <w:r w:rsidRPr="006913F3">
        <w:rPr>
          <w:rFonts w:ascii="Times New Roman" w:hAnsi="Times New Roman" w:cs="Times New Roman"/>
          <w:sz w:val="24"/>
          <w:szCs w:val="24"/>
        </w:rPr>
        <w:t>is neattiektos uz specifiskām augstskolām (LNAA) un koledžām.</w:t>
      </w:r>
    </w:p>
    <w:p w14:paraId="71DC6D8E" w14:textId="77777777" w:rsidR="00995C08" w:rsidRPr="006913F3" w:rsidRDefault="00995C08" w:rsidP="00934850">
      <w:pPr>
        <w:jc w:val="both"/>
        <w:rPr>
          <w:rFonts w:ascii="Times New Roman" w:hAnsi="Times New Roman" w:cs="Times New Roman"/>
          <w:sz w:val="24"/>
          <w:szCs w:val="24"/>
        </w:rPr>
      </w:pPr>
    </w:p>
    <w:p w14:paraId="7BB05C56" w14:textId="29B9D03F" w:rsidR="00D6298C" w:rsidRPr="006913F3" w:rsidRDefault="00313C0D" w:rsidP="00313C0D">
      <w:pPr>
        <w:jc w:val="center"/>
        <w:rPr>
          <w:rFonts w:ascii="Times New Roman" w:hAnsi="Times New Roman" w:cs="Times New Roman"/>
          <w:b/>
          <w:sz w:val="24"/>
          <w:szCs w:val="24"/>
        </w:rPr>
      </w:pPr>
      <w:r w:rsidRPr="006913F3">
        <w:rPr>
          <w:rFonts w:ascii="Times New Roman" w:hAnsi="Times New Roman" w:cs="Times New Roman"/>
          <w:b/>
          <w:sz w:val="24"/>
          <w:szCs w:val="24"/>
        </w:rPr>
        <w:t>Kopsavil</w:t>
      </w:r>
      <w:r w:rsidR="00292FE6">
        <w:rPr>
          <w:rFonts w:ascii="Times New Roman" w:hAnsi="Times New Roman" w:cs="Times New Roman"/>
          <w:b/>
          <w:sz w:val="24"/>
          <w:szCs w:val="24"/>
        </w:rPr>
        <w:t xml:space="preserve">kums </w:t>
      </w:r>
      <w:r w:rsidR="00C81D81">
        <w:rPr>
          <w:rFonts w:ascii="Times New Roman" w:hAnsi="Times New Roman" w:cs="Times New Roman"/>
          <w:b/>
          <w:sz w:val="24"/>
          <w:szCs w:val="24"/>
        </w:rPr>
        <w:t>par starptautiskā no</w:t>
      </w:r>
      <w:r w:rsidRPr="006913F3">
        <w:rPr>
          <w:rFonts w:ascii="Times New Roman" w:hAnsi="Times New Roman" w:cs="Times New Roman"/>
          <w:b/>
          <w:sz w:val="24"/>
          <w:szCs w:val="24"/>
        </w:rPr>
        <w:t>vērtējuma sasaisti ar ANM plānu</w:t>
      </w:r>
    </w:p>
    <w:p w14:paraId="12795252" w14:textId="77777777" w:rsidR="00995C08" w:rsidRPr="006913F3" w:rsidRDefault="00995C08" w:rsidP="00934850">
      <w:pPr>
        <w:jc w:val="both"/>
        <w:rPr>
          <w:rFonts w:ascii="Times New Roman" w:hAnsi="Times New Roman" w:cs="Times New Roman"/>
          <w:sz w:val="24"/>
          <w:szCs w:val="24"/>
        </w:rPr>
      </w:pPr>
    </w:p>
    <w:tbl>
      <w:tblPr>
        <w:tblW w:w="7620" w:type="dxa"/>
        <w:jc w:val="center"/>
        <w:tblLook w:val="04A0" w:firstRow="1" w:lastRow="0" w:firstColumn="1" w:lastColumn="0" w:noHBand="0" w:noVBand="1"/>
      </w:tblPr>
      <w:tblGrid>
        <w:gridCol w:w="2080"/>
        <w:gridCol w:w="2080"/>
        <w:gridCol w:w="3460"/>
      </w:tblGrid>
      <w:tr w:rsidR="00234FDC" w:rsidRPr="006913F3" w14:paraId="11C2C0A3" w14:textId="77777777" w:rsidTr="00234FDC">
        <w:trPr>
          <w:trHeight w:val="936"/>
          <w:jc w:val="center"/>
        </w:trPr>
        <w:tc>
          <w:tcPr>
            <w:tcW w:w="2080" w:type="dxa"/>
            <w:tcBorders>
              <w:top w:val="single" w:sz="4" w:space="0" w:color="auto"/>
              <w:left w:val="single" w:sz="4" w:space="0" w:color="auto"/>
              <w:bottom w:val="single" w:sz="4" w:space="0" w:color="auto"/>
              <w:right w:val="single" w:sz="4" w:space="0" w:color="auto"/>
            </w:tcBorders>
            <w:shd w:val="clear" w:color="000000" w:fill="215967"/>
            <w:vAlign w:val="center"/>
            <w:hideMark/>
          </w:tcPr>
          <w:p w14:paraId="72C462CC" w14:textId="77777777" w:rsidR="00234FDC" w:rsidRPr="006913F3" w:rsidRDefault="00234FDC" w:rsidP="00234FDC">
            <w:pPr>
              <w:spacing w:after="0" w:line="240" w:lineRule="auto"/>
              <w:jc w:val="center"/>
              <w:rPr>
                <w:rFonts w:ascii="Times New Roman" w:eastAsia="Times New Roman" w:hAnsi="Times New Roman" w:cs="Times New Roman"/>
                <w:color w:val="FFFFFF"/>
                <w:sz w:val="24"/>
                <w:szCs w:val="24"/>
              </w:rPr>
            </w:pPr>
            <w:r w:rsidRPr="006913F3">
              <w:rPr>
                <w:rFonts w:ascii="Times New Roman" w:eastAsia="Times New Roman" w:hAnsi="Times New Roman" w:cs="Times New Roman"/>
                <w:color w:val="FFFFFF"/>
                <w:sz w:val="24"/>
                <w:szCs w:val="24"/>
              </w:rPr>
              <w:t>Augstskola</w:t>
            </w:r>
          </w:p>
        </w:tc>
        <w:tc>
          <w:tcPr>
            <w:tcW w:w="2080" w:type="dxa"/>
            <w:tcBorders>
              <w:top w:val="single" w:sz="4" w:space="0" w:color="auto"/>
              <w:left w:val="nil"/>
              <w:bottom w:val="single" w:sz="4" w:space="0" w:color="auto"/>
              <w:right w:val="single" w:sz="4" w:space="0" w:color="auto"/>
            </w:tcBorders>
            <w:shd w:val="clear" w:color="000000" w:fill="215967"/>
            <w:vAlign w:val="center"/>
            <w:hideMark/>
          </w:tcPr>
          <w:p w14:paraId="12117DB7" w14:textId="77777777" w:rsidR="007C7CC3" w:rsidRDefault="007C7CC3" w:rsidP="00234FD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Novērtējumā</w:t>
            </w:r>
          </w:p>
          <w:p w14:paraId="730F311B" w14:textId="6DCDFA8A" w:rsidR="00234FDC" w:rsidRPr="006913F3" w:rsidRDefault="00234FDC" w:rsidP="00234FDC">
            <w:pPr>
              <w:spacing w:after="0" w:line="240" w:lineRule="auto"/>
              <w:jc w:val="center"/>
              <w:rPr>
                <w:rFonts w:ascii="Times New Roman" w:eastAsia="Times New Roman" w:hAnsi="Times New Roman" w:cs="Times New Roman"/>
                <w:color w:val="FFFFFF"/>
                <w:sz w:val="24"/>
                <w:szCs w:val="24"/>
              </w:rPr>
            </w:pPr>
            <w:r w:rsidRPr="006913F3">
              <w:rPr>
                <w:rFonts w:ascii="Times New Roman" w:eastAsia="Times New Roman" w:hAnsi="Times New Roman" w:cs="Times New Roman"/>
                <w:color w:val="FFFFFF"/>
                <w:sz w:val="24"/>
                <w:szCs w:val="24"/>
              </w:rPr>
              <w:t>saņemtais vērtējums</w:t>
            </w:r>
          </w:p>
        </w:tc>
        <w:tc>
          <w:tcPr>
            <w:tcW w:w="3460" w:type="dxa"/>
            <w:tcBorders>
              <w:top w:val="single" w:sz="4" w:space="0" w:color="auto"/>
              <w:left w:val="nil"/>
              <w:bottom w:val="single" w:sz="4" w:space="0" w:color="auto"/>
              <w:right w:val="single" w:sz="4" w:space="0" w:color="auto"/>
            </w:tcBorders>
            <w:shd w:val="clear" w:color="000000" w:fill="215967"/>
            <w:vAlign w:val="center"/>
            <w:hideMark/>
          </w:tcPr>
          <w:p w14:paraId="28DBC289" w14:textId="77777777" w:rsidR="00234FDC" w:rsidRPr="006913F3" w:rsidRDefault="00234FDC" w:rsidP="00234FDC">
            <w:pPr>
              <w:spacing w:after="0" w:line="240" w:lineRule="auto"/>
              <w:jc w:val="center"/>
              <w:rPr>
                <w:rFonts w:ascii="Times New Roman" w:eastAsia="Times New Roman" w:hAnsi="Times New Roman" w:cs="Times New Roman"/>
                <w:color w:val="FFFFFF"/>
                <w:sz w:val="24"/>
                <w:szCs w:val="24"/>
              </w:rPr>
            </w:pPr>
            <w:r w:rsidRPr="006913F3">
              <w:rPr>
                <w:rFonts w:ascii="Times New Roman" w:eastAsia="Times New Roman" w:hAnsi="Times New Roman" w:cs="Times New Roman"/>
                <w:color w:val="FFFFFF"/>
                <w:sz w:val="24"/>
                <w:szCs w:val="24"/>
              </w:rPr>
              <w:t>Tālākās rīcības piedāvājums</w:t>
            </w:r>
          </w:p>
        </w:tc>
      </w:tr>
      <w:tr w:rsidR="00234FDC" w:rsidRPr="006913F3" w14:paraId="1619602B" w14:textId="77777777" w:rsidTr="00234FDC">
        <w:trPr>
          <w:trHeight w:val="828"/>
          <w:jc w:val="center"/>
        </w:trPr>
        <w:tc>
          <w:tcPr>
            <w:tcW w:w="2080" w:type="dxa"/>
            <w:tcBorders>
              <w:top w:val="nil"/>
              <w:left w:val="single" w:sz="4" w:space="0" w:color="auto"/>
              <w:bottom w:val="single" w:sz="4" w:space="0" w:color="auto"/>
              <w:right w:val="single" w:sz="4" w:space="0" w:color="auto"/>
            </w:tcBorders>
            <w:shd w:val="clear" w:color="000000" w:fill="DAEEF3"/>
            <w:vAlign w:val="center"/>
            <w:hideMark/>
          </w:tcPr>
          <w:p w14:paraId="7764EFE6" w14:textId="6679A304" w:rsidR="00234FDC" w:rsidRPr="006913F3" w:rsidRDefault="00433E4C" w:rsidP="00234F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Jūras akadēmija</w:t>
            </w:r>
          </w:p>
        </w:tc>
        <w:tc>
          <w:tcPr>
            <w:tcW w:w="2080" w:type="dxa"/>
            <w:tcBorders>
              <w:top w:val="nil"/>
              <w:left w:val="nil"/>
              <w:bottom w:val="single" w:sz="4" w:space="0" w:color="auto"/>
              <w:right w:val="single" w:sz="4" w:space="0" w:color="auto"/>
            </w:tcBorders>
            <w:shd w:val="clear" w:color="000000" w:fill="DAEEF3"/>
            <w:vAlign w:val="center"/>
            <w:hideMark/>
          </w:tcPr>
          <w:p w14:paraId="76543DB7"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1</w:t>
            </w:r>
          </w:p>
        </w:tc>
        <w:tc>
          <w:tcPr>
            <w:tcW w:w="3460" w:type="dxa"/>
            <w:tcBorders>
              <w:top w:val="nil"/>
              <w:left w:val="nil"/>
              <w:bottom w:val="single" w:sz="4" w:space="0" w:color="auto"/>
              <w:right w:val="single" w:sz="4" w:space="0" w:color="auto"/>
            </w:tcBorders>
            <w:shd w:val="clear" w:color="000000" w:fill="DAEEF3"/>
            <w:vAlign w:val="center"/>
            <w:hideMark/>
          </w:tcPr>
          <w:p w14:paraId="18D09CBB" w14:textId="455074CF" w:rsidR="00234FDC" w:rsidRPr="006913F3" w:rsidRDefault="00234FDC" w:rsidP="00433E4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Konsolidācija ar </w:t>
            </w:r>
            <w:r w:rsidR="00433E4C">
              <w:rPr>
                <w:rFonts w:ascii="Times New Roman" w:eastAsia="Times New Roman" w:hAnsi="Times New Roman" w:cs="Times New Roman"/>
                <w:color w:val="000000"/>
                <w:sz w:val="24"/>
                <w:szCs w:val="24"/>
              </w:rPr>
              <w:t>Rīgas Tehnisko universitāti</w:t>
            </w:r>
            <w:r w:rsidRPr="006913F3">
              <w:rPr>
                <w:rFonts w:ascii="Times New Roman" w:eastAsia="Times New Roman" w:hAnsi="Times New Roman" w:cs="Times New Roman"/>
                <w:color w:val="000000"/>
                <w:sz w:val="24"/>
                <w:szCs w:val="24"/>
              </w:rPr>
              <w:t xml:space="preserve"> vai </w:t>
            </w:r>
            <w:r w:rsidR="00561ED3" w:rsidRPr="006913F3">
              <w:rPr>
                <w:rFonts w:ascii="Times New Roman" w:eastAsia="Times New Roman" w:hAnsi="Times New Roman" w:cs="Times New Roman"/>
                <w:color w:val="000000"/>
                <w:sz w:val="24"/>
                <w:szCs w:val="24"/>
              </w:rPr>
              <w:t>c</w:t>
            </w:r>
            <w:r w:rsidR="00433E4C">
              <w:rPr>
                <w:rFonts w:ascii="Times New Roman" w:eastAsia="Times New Roman" w:hAnsi="Times New Roman" w:cs="Times New Roman"/>
                <w:color w:val="000000"/>
                <w:sz w:val="24"/>
                <w:szCs w:val="24"/>
              </w:rPr>
              <w:t>its konsolidācijas risinājums sadarbībā ar augstskolām</w:t>
            </w:r>
          </w:p>
        </w:tc>
      </w:tr>
      <w:tr w:rsidR="00234FDC" w:rsidRPr="006913F3" w14:paraId="4C8274BD" w14:textId="77777777" w:rsidTr="00234FDC">
        <w:trPr>
          <w:trHeight w:val="288"/>
          <w:jc w:val="center"/>
        </w:trPr>
        <w:tc>
          <w:tcPr>
            <w:tcW w:w="2080" w:type="dxa"/>
            <w:tcBorders>
              <w:top w:val="nil"/>
              <w:left w:val="single" w:sz="4" w:space="0" w:color="auto"/>
              <w:bottom w:val="single" w:sz="4" w:space="0" w:color="auto"/>
              <w:right w:val="single" w:sz="4" w:space="0" w:color="auto"/>
            </w:tcBorders>
            <w:shd w:val="clear" w:color="000000" w:fill="DAEEF3"/>
            <w:noWrap/>
            <w:vAlign w:val="center"/>
            <w:hideMark/>
          </w:tcPr>
          <w:p w14:paraId="668B07DE" w14:textId="3A9E103A" w:rsidR="00234FDC" w:rsidRPr="006913F3" w:rsidRDefault="00433E4C" w:rsidP="00234F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Sporta Pedagoģijas akadēmija</w:t>
            </w:r>
          </w:p>
        </w:tc>
        <w:tc>
          <w:tcPr>
            <w:tcW w:w="2080" w:type="dxa"/>
            <w:tcBorders>
              <w:top w:val="nil"/>
              <w:left w:val="nil"/>
              <w:bottom w:val="single" w:sz="4" w:space="0" w:color="auto"/>
              <w:right w:val="single" w:sz="4" w:space="0" w:color="auto"/>
            </w:tcBorders>
            <w:shd w:val="clear" w:color="000000" w:fill="DAEEF3"/>
            <w:noWrap/>
            <w:vAlign w:val="center"/>
            <w:hideMark/>
          </w:tcPr>
          <w:p w14:paraId="7EB9BCF7"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2</w:t>
            </w:r>
          </w:p>
        </w:tc>
        <w:tc>
          <w:tcPr>
            <w:tcW w:w="3460" w:type="dxa"/>
            <w:tcBorders>
              <w:top w:val="nil"/>
              <w:left w:val="nil"/>
              <w:bottom w:val="single" w:sz="4" w:space="0" w:color="auto"/>
              <w:right w:val="single" w:sz="4" w:space="0" w:color="auto"/>
            </w:tcBorders>
            <w:shd w:val="clear" w:color="000000" w:fill="DAEEF3"/>
            <w:vAlign w:val="center"/>
            <w:hideMark/>
          </w:tcPr>
          <w:p w14:paraId="36935075" w14:textId="2B583E7C" w:rsidR="00234FDC" w:rsidRPr="006913F3" w:rsidRDefault="00234FDC" w:rsidP="00433E4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Konsolidācija ar </w:t>
            </w:r>
            <w:r w:rsidR="00433E4C">
              <w:rPr>
                <w:rFonts w:ascii="Times New Roman" w:eastAsia="Times New Roman" w:hAnsi="Times New Roman" w:cs="Times New Roman"/>
                <w:color w:val="000000"/>
                <w:sz w:val="24"/>
                <w:szCs w:val="24"/>
              </w:rPr>
              <w:t>Rīgas Stradiņa universitāti</w:t>
            </w:r>
            <w:r w:rsidR="00433E4C" w:rsidRPr="006913F3">
              <w:rPr>
                <w:rFonts w:ascii="Times New Roman" w:eastAsia="Times New Roman" w:hAnsi="Times New Roman" w:cs="Times New Roman"/>
                <w:color w:val="000000"/>
                <w:sz w:val="24"/>
                <w:szCs w:val="24"/>
              </w:rPr>
              <w:t xml:space="preserve"> </w:t>
            </w:r>
            <w:r w:rsidR="00561ED3" w:rsidRPr="006913F3">
              <w:rPr>
                <w:rFonts w:ascii="Times New Roman" w:eastAsia="Times New Roman" w:hAnsi="Times New Roman" w:cs="Times New Roman"/>
                <w:color w:val="000000"/>
                <w:sz w:val="24"/>
                <w:szCs w:val="24"/>
              </w:rPr>
              <w:t xml:space="preserve">vai </w:t>
            </w:r>
            <w:r w:rsidR="00433E4C" w:rsidRPr="006913F3">
              <w:rPr>
                <w:rFonts w:ascii="Times New Roman" w:eastAsia="Times New Roman" w:hAnsi="Times New Roman" w:cs="Times New Roman"/>
                <w:color w:val="000000"/>
                <w:sz w:val="24"/>
                <w:szCs w:val="24"/>
              </w:rPr>
              <w:t>c</w:t>
            </w:r>
            <w:r w:rsidR="00433E4C">
              <w:rPr>
                <w:rFonts w:ascii="Times New Roman" w:eastAsia="Times New Roman" w:hAnsi="Times New Roman" w:cs="Times New Roman"/>
                <w:color w:val="000000"/>
                <w:sz w:val="24"/>
                <w:szCs w:val="24"/>
              </w:rPr>
              <w:t>its konsolidācijas risinājums sadarbībā ar augstskolām</w:t>
            </w:r>
          </w:p>
        </w:tc>
      </w:tr>
      <w:tr w:rsidR="00234FDC" w:rsidRPr="006913F3" w14:paraId="1DEFFC5A" w14:textId="77777777" w:rsidTr="00234FDC">
        <w:trPr>
          <w:trHeight w:val="576"/>
          <w:jc w:val="center"/>
        </w:trPr>
        <w:tc>
          <w:tcPr>
            <w:tcW w:w="2080" w:type="dxa"/>
            <w:tcBorders>
              <w:top w:val="nil"/>
              <w:left w:val="single" w:sz="4" w:space="0" w:color="auto"/>
              <w:bottom w:val="single" w:sz="4" w:space="0" w:color="auto"/>
              <w:right w:val="single" w:sz="4" w:space="0" w:color="auto"/>
            </w:tcBorders>
            <w:shd w:val="clear" w:color="000000" w:fill="DAEEF3"/>
            <w:noWrap/>
            <w:vAlign w:val="center"/>
            <w:hideMark/>
          </w:tcPr>
          <w:p w14:paraId="43C56781" w14:textId="7361E0CD" w:rsidR="00234FDC" w:rsidRPr="006913F3" w:rsidRDefault="00433E4C" w:rsidP="00234F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Fizikālās enerģētikas institūts</w:t>
            </w:r>
          </w:p>
        </w:tc>
        <w:tc>
          <w:tcPr>
            <w:tcW w:w="2080" w:type="dxa"/>
            <w:tcBorders>
              <w:top w:val="nil"/>
              <w:left w:val="nil"/>
              <w:bottom w:val="single" w:sz="4" w:space="0" w:color="auto"/>
              <w:right w:val="single" w:sz="4" w:space="0" w:color="auto"/>
            </w:tcBorders>
            <w:shd w:val="clear" w:color="000000" w:fill="DAEEF3"/>
            <w:noWrap/>
            <w:vAlign w:val="center"/>
            <w:hideMark/>
          </w:tcPr>
          <w:p w14:paraId="07208879"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2</w:t>
            </w:r>
          </w:p>
        </w:tc>
        <w:tc>
          <w:tcPr>
            <w:tcW w:w="3460" w:type="dxa"/>
            <w:tcBorders>
              <w:top w:val="nil"/>
              <w:left w:val="nil"/>
              <w:bottom w:val="single" w:sz="4" w:space="0" w:color="auto"/>
              <w:right w:val="single" w:sz="4" w:space="0" w:color="auto"/>
            </w:tcBorders>
            <w:shd w:val="clear" w:color="000000" w:fill="DAEEF3"/>
            <w:vAlign w:val="center"/>
            <w:hideMark/>
          </w:tcPr>
          <w:p w14:paraId="06203DD0" w14:textId="722F8F8E" w:rsidR="00234FDC" w:rsidRPr="006913F3" w:rsidRDefault="00234FDC" w:rsidP="00433E4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Konsolidācija ar </w:t>
            </w:r>
            <w:r w:rsidR="00433E4C">
              <w:rPr>
                <w:rFonts w:ascii="Times New Roman" w:eastAsia="Times New Roman" w:hAnsi="Times New Roman" w:cs="Times New Roman"/>
                <w:color w:val="000000"/>
                <w:sz w:val="24"/>
                <w:szCs w:val="24"/>
              </w:rPr>
              <w:t xml:space="preserve">Rīgas Tehnisko universitāti </w:t>
            </w:r>
            <w:r w:rsidR="00433E4C" w:rsidRPr="006913F3">
              <w:rPr>
                <w:rFonts w:ascii="Times New Roman" w:eastAsia="Times New Roman" w:hAnsi="Times New Roman" w:cs="Times New Roman"/>
                <w:color w:val="000000"/>
                <w:sz w:val="24"/>
                <w:szCs w:val="24"/>
              </w:rPr>
              <w:t>vai c</w:t>
            </w:r>
            <w:r w:rsidR="00433E4C">
              <w:rPr>
                <w:rFonts w:ascii="Times New Roman" w:eastAsia="Times New Roman" w:hAnsi="Times New Roman" w:cs="Times New Roman"/>
                <w:color w:val="000000"/>
                <w:sz w:val="24"/>
                <w:szCs w:val="24"/>
              </w:rPr>
              <w:t>its konsolidācijas risinājums sadarbībā ar zinātniskajām institūcijām</w:t>
            </w:r>
          </w:p>
        </w:tc>
      </w:tr>
      <w:tr w:rsidR="00234FDC" w:rsidRPr="006913F3" w14:paraId="10C3A74D" w14:textId="77777777" w:rsidTr="00234FDC">
        <w:trPr>
          <w:trHeight w:val="576"/>
          <w:jc w:val="center"/>
        </w:trPr>
        <w:tc>
          <w:tcPr>
            <w:tcW w:w="2080" w:type="dxa"/>
            <w:tcBorders>
              <w:top w:val="nil"/>
              <w:left w:val="single" w:sz="4" w:space="0" w:color="auto"/>
              <w:bottom w:val="single" w:sz="4" w:space="0" w:color="auto"/>
              <w:right w:val="single" w:sz="4" w:space="0" w:color="auto"/>
            </w:tcBorders>
            <w:shd w:val="clear" w:color="000000" w:fill="DAEEF3"/>
            <w:noWrap/>
            <w:vAlign w:val="center"/>
            <w:hideMark/>
          </w:tcPr>
          <w:p w14:paraId="1AB0CD7B" w14:textId="25A32570" w:rsidR="00234FDC" w:rsidRPr="006913F3" w:rsidRDefault="00234FDC" w:rsidP="00433E4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Banku </w:t>
            </w:r>
            <w:r w:rsidR="00433E4C">
              <w:rPr>
                <w:rFonts w:ascii="Times New Roman" w:eastAsia="Times New Roman" w:hAnsi="Times New Roman" w:cs="Times New Roman"/>
                <w:color w:val="000000"/>
                <w:sz w:val="24"/>
                <w:szCs w:val="24"/>
              </w:rPr>
              <w:t>a</w:t>
            </w:r>
            <w:r w:rsidR="00433E4C" w:rsidRPr="006913F3">
              <w:rPr>
                <w:rFonts w:ascii="Times New Roman" w:eastAsia="Times New Roman" w:hAnsi="Times New Roman" w:cs="Times New Roman"/>
                <w:color w:val="000000"/>
                <w:sz w:val="24"/>
                <w:szCs w:val="24"/>
              </w:rPr>
              <w:t>ugstskola</w:t>
            </w:r>
          </w:p>
        </w:tc>
        <w:tc>
          <w:tcPr>
            <w:tcW w:w="2080" w:type="dxa"/>
            <w:tcBorders>
              <w:top w:val="nil"/>
              <w:left w:val="nil"/>
              <w:bottom w:val="single" w:sz="4" w:space="0" w:color="auto"/>
              <w:right w:val="single" w:sz="4" w:space="0" w:color="auto"/>
            </w:tcBorders>
            <w:shd w:val="clear" w:color="000000" w:fill="DAEEF3"/>
            <w:noWrap/>
            <w:vAlign w:val="center"/>
            <w:hideMark/>
          </w:tcPr>
          <w:p w14:paraId="0BC7B7C9"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2</w:t>
            </w:r>
          </w:p>
        </w:tc>
        <w:tc>
          <w:tcPr>
            <w:tcW w:w="3460" w:type="dxa"/>
            <w:tcBorders>
              <w:top w:val="nil"/>
              <w:left w:val="nil"/>
              <w:bottom w:val="single" w:sz="4" w:space="0" w:color="auto"/>
              <w:right w:val="single" w:sz="4" w:space="0" w:color="auto"/>
            </w:tcBorders>
            <w:shd w:val="clear" w:color="000000" w:fill="DAEEF3"/>
            <w:vAlign w:val="center"/>
            <w:hideMark/>
          </w:tcPr>
          <w:p w14:paraId="07E2542B" w14:textId="6FBCB460" w:rsidR="00234FDC" w:rsidRPr="006913F3" w:rsidRDefault="00234FDC" w:rsidP="00433E4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Konsolidācija ar </w:t>
            </w:r>
            <w:r w:rsidR="00536366" w:rsidRPr="006913F3">
              <w:rPr>
                <w:rFonts w:ascii="Times New Roman" w:eastAsia="Times New Roman" w:hAnsi="Times New Roman" w:cs="Times New Roman"/>
                <w:color w:val="000000"/>
                <w:sz w:val="24"/>
                <w:szCs w:val="24"/>
              </w:rPr>
              <w:t>zinātnes universitāti</w:t>
            </w:r>
            <w:r w:rsidR="00561ED3" w:rsidRPr="006913F3">
              <w:rPr>
                <w:rFonts w:ascii="Times New Roman" w:eastAsia="Times New Roman" w:hAnsi="Times New Roman" w:cs="Times New Roman"/>
                <w:color w:val="000000"/>
                <w:sz w:val="24"/>
                <w:szCs w:val="24"/>
              </w:rPr>
              <w:t xml:space="preserve"> </w:t>
            </w:r>
          </w:p>
        </w:tc>
      </w:tr>
      <w:tr w:rsidR="00234FDC" w:rsidRPr="006913F3" w14:paraId="71A63A40" w14:textId="77777777" w:rsidTr="00234FDC">
        <w:trPr>
          <w:trHeight w:val="864"/>
          <w:jc w:val="center"/>
        </w:trPr>
        <w:tc>
          <w:tcPr>
            <w:tcW w:w="2080" w:type="dxa"/>
            <w:tcBorders>
              <w:top w:val="nil"/>
              <w:left w:val="single" w:sz="4" w:space="0" w:color="auto"/>
              <w:bottom w:val="single" w:sz="4" w:space="0" w:color="auto"/>
              <w:right w:val="single" w:sz="4" w:space="0" w:color="auto"/>
            </w:tcBorders>
            <w:shd w:val="clear" w:color="000000" w:fill="DAEEF3"/>
            <w:noWrap/>
            <w:vAlign w:val="center"/>
            <w:hideMark/>
          </w:tcPr>
          <w:p w14:paraId="3CF5F8DC" w14:textId="3560BBB0" w:rsidR="00234FDC" w:rsidRPr="006913F3" w:rsidRDefault="00433E4C" w:rsidP="00234F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Liepājas Universitāte</w:t>
            </w:r>
          </w:p>
        </w:tc>
        <w:tc>
          <w:tcPr>
            <w:tcW w:w="2080" w:type="dxa"/>
            <w:tcBorders>
              <w:top w:val="nil"/>
              <w:left w:val="nil"/>
              <w:bottom w:val="single" w:sz="4" w:space="0" w:color="auto"/>
              <w:right w:val="single" w:sz="4" w:space="0" w:color="auto"/>
            </w:tcBorders>
            <w:shd w:val="clear" w:color="000000" w:fill="DAEEF3"/>
            <w:vAlign w:val="center"/>
            <w:hideMark/>
          </w:tcPr>
          <w:p w14:paraId="4358D920"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2 (vidējais svērtais vērtējums)</w:t>
            </w:r>
          </w:p>
        </w:tc>
        <w:tc>
          <w:tcPr>
            <w:tcW w:w="3460" w:type="dxa"/>
            <w:tcBorders>
              <w:top w:val="nil"/>
              <w:left w:val="nil"/>
              <w:bottom w:val="single" w:sz="4" w:space="0" w:color="auto"/>
              <w:right w:val="single" w:sz="4" w:space="0" w:color="auto"/>
            </w:tcBorders>
            <w:shd w:val="clear" w:color="000000" w:fill="DAEEF3"/>
            <w:vAlign w:val="center"/>
            <w:hideMark/>
          </w:tcPr>
          <w:p w14:paraId="428E8C39" w14:textId="4C0C90E3" w:rsidR="00234FDC" w:rsidRPr="006913F3" w:rsidRDefault="00433E4C" w:rsidP="00561ED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Konsolidācija ar Latvijas Universitāti</w:t>
            </w:r>
          </w:p>
        </w:tc>
      </w:tr>
      <w:tr w:rsidR="00234FDC" w:rsidRPr="006913F3" w14:paraId="744D7DC7" w14:textId="77777777" w:rsidTr="00234FDC">
        <w:trPr>
          <w:trHeight w:val="876"/>
          <w:jc w:val="center"/>
        </w:trPr>
        <w:tc>
          <w:tcPr>
            <w:tcW w:w="2080" w:type="dxa"/>
            <w:tcBorders>
              <w:top w:val="nil"/>
              <w:left w:val="single" w:sz="4" w:space="0" w:color="auto"/>
              <w:bottom w:val="single" w:sz="4" w:space="0" w:color="auto"/>
              <w:right w:val="single" w:sz="4" w:space="0" w:color="auto"/>
            </w:tcBorders>
            <w:shd w:val="clear" w:color="000000" w:fill="DAEEF3"/>
            <w:vAlign w:val="center"/>
            <w:hideMark/>
          </w:tcPr>
          <w:p w14:paraId="11159766" w14:textId="191F2FA8" w:rsidR="00234FDC" w:rsidRPr="006913F3" w:rsidRDefault="00433E4C" w:rsidP="00234F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Rēzeknes Tehnoloģiju akadēmija</w:t>
            </w:r>
          </w:p>
        </w:tc>
        <w:tc>
          <w:tcPr>
            <w:tcW w:w="2080" w:type="dxa"/>
            <w:tcBorders>
              <w:top w:val="nil"/>
              <w:left w:val="nil"/>
              <w:bottom w:val="single" w:sz="4" w:space="0" w:color="auto"/>
              <w:right w:val="single" w:sz="4" w:space="0" w:color="auto"/>
            </w:tcBorders>
            <w:shd w:val="clear" w:color="000000" w:fill="DAEEF3"/>
            <w:vAlign w:val="center"/>
            <w:hideMark/>
          </w:tcPr>
          <w:p w14:paraId="045DD822" w14:textId="77777777" w:rsidR="00234FDC" w:rsidRPr="006913F3" w:rsidRDefault="00234FDC" w:rsidP="00234FDC">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2 (vidējais svērtais vērtējums)</w:t>
            </w:r>
          </w:p>
        </w:tc>
        <w:tc>
          <w:tcPr>
            <w:tcW w:w="3460" w:type="dxa"/>
            <w:tcBorders>
              <w:top w:val="nil"/>
              <w:left w:val="nil"/>
              <w:bottom w:val="single" w:sz="4" w:space="0" w:color="auto"/>
              <w:right w:val="single" w:sz="4" w:space="0" w:color="auto"/>
            </w:tcBorders>
            <w:shd w:val="clear" w:color="000000" w:fill="DAEEF3"/>
            <w:vAlign w:val="center"/>
            <w:hideMark/>
          </w:tcPr>
          <w:p w14:paraId="1F394D0C" w14:textId="3D9DB6C6" w:rsidR="00234FDC" w:rsidRPr="006913F3" w:rsidRDefault="00134E73" w:rsidP="00134E73">
            <w:pPr>
              <w:spacing w:after="0" w:line="240" w:lineRule="auto"/>
              <w:jc w:val="center"/>
              <w:rPr>
                <w:rFonts w:ascii="Times New Roman" w:eastAsia="Times New Roman" w:hAnsi="Times New Roman" w:cs="Times New Roman"/>
                <w:color w:val="000000"/>
                <w:sz w:val="24"/>
                <w:szCs w:val="24"/>
              </w:rPr>
            </w:pPr>
            <w:r w:rsidRPr="006913F3">
              <w:rPr>
                <w:rFonts w:ascii="Times New Roman" w:eastAsia="Times New Roman" w:hAnsi="Times New Roman" w:cs="Times New Roman"/>
                <w:color w:val="000000"/>
                <w:sz w:val="24"/>
                <w:szCs w:val="24"/>
              </w:rPr>
              <w:t xml:space="preserve">Konsolidācija ar </w:t>
            </w:r>
            <w:r>
              <w:rPr>
                <w:rFonts w:ascii="Times New Roman" w:eastAsia="Times New Roman" w:hAnsi="Times New Roman" w:cs="Times New Roman"/>
                <w:color w:val="000000"/>
                <w:sz w:val="24"/>
                <w:szCs w:val="24"/>
              </w:rPr>
              <w:t>Daugavpils Universitāti</w:t>
            </w:r>
            <w:r w:rsidRPr="006913F3">
              <w:rPr>
                <w:rFonts w:ascii="Times New Roman" w:eastAsia="Times New Roman" w:hAnsi="Times New Roman" w:cs="Times New Roman"/>
                <w:color w:val="000000"/>
                <w:sz w:val="24"/>
                <w:szCs w:val="24"/>
              </w:rPr>
              <w:t xml:space="preserve"> vai c</w:t>
            </w:r>
            <w:r>
              <w:rPr>
                <w:rFonts w:ascii="Times New Roman" w:eastAsia="Times New Roman" w:hAnsi="Times New Roman" w:cs="Times New Roman"/>
                <w:color w:val="000000"/>
                <w:sz w:val="24"/>
                <w:szCs w:val="24"/>
              </w:rPr>
              <w:t>its konsolidācijas risinājums sadarbībā ar augstskolām</w:t>
            </w:r>
          </w:p>
        </w:tc>
      </w:tr>
    </w:tbl>
    <w:p w14:paraId="5357C11F" w14:textId="77777777" w:rsidR="00995C08" w:rsidRPr="006913F3" w:rsidRDefault="00995C08" w:rsidP="00934850">
      <w:pPr>
        <w:jc w:val="both"/>
        <w:rPr>
          <w:rFonts w:ascii="Times New Roman" w:hAnsi="Times New Roman" w:cs="Times New Roman"/>
          <w:sz w:val="24"/>
          <w:szCs w:val="24"/>
        </w:rPr>
      </w:pPr>
    </w:p>
    <w:p w14:paraId="04193F58" w14:textId="15D7EDB8" w:rsidR="00234FDC" w:rsidRPr="00247F42" w:rsidRDefault="00C81D81" w:rsidP="00247F42">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00234FDC" w:rsidRPr="006913F3">
        <w:rPr>
          <w:rFonts w:ascii="Times New Roman" w:hAnsi="Times New Roman" w:cs="Times New Roman"/>
          <w:b/>
          <w:sz w:val="24"/>
          <w:szCs w:val="24"/>
        </w:rPr>
        <w:t>Tālākā rīcīb</w:t>
      </w:r>
      <w:r w:rsidR="00F048F0">
        <w:rPr>
          <w:rFonts w:ascii="Times New Roman" w:hAnsi="Times New Roman" w:cs="Times New Roman"/>
          <w:b/>
          <w:sz w:val="24"/>
          <w:szCs w:val="24"/>
        </w:rPr>
        <w:t>a</w:t>
      </w:r>
    </w:p>
    <w:p w14:paraId="5E890B92" w14:textId="4EE8251F" w:rsidR="00F048F0" w:rsidRPr="00F048F0" w:rsidRDefault="00234FDC" w:rsidP="00F048F0">
      <w:pPr>
        <w:ind w:firstLine="720"/>
        <w:jc w:val="both"/>
        <w:rPr>
          <w:rFonts w:ascii="Times New Roman" w:hAnsi="Times New Roman" w:cs="Times New Roman"/>
          <w:sz w:val="24"/>
          <w:szCs w:val="24"/>
        </w:rPr>
      </w:pPr>
      <w:r w:rsidRPr="006913F3">
        <w:rPr>
          <w:rFonts w:ascii="Times New Roman" w:hAnsi="Times New Roman" w:cs="Times New Roman"/>
          <w:sz w:val="24"/>
          <w:szCs w:val="24"/>
        </w:rPr>
        <w:t xml:space="preserve">1. Apstiprināt </w:t>
      </w:r>
      <w:r w:rsidR="00F048F0">
        <w:rPr>
          <w:rFonts w:ascii="Times New Roman" w:hAnsi="Times New Roman" w:cs="Times New Roman"/>
          <w:sz w:val="24"/>
          <w:szCs w:val="24"/>
        </w:rPr>
        <w:t>un a</w:t>
      </w:r>
      <w:r w:rsidR="00F048F0" w:rsidRPr="00F048F0">
        <w:rPr>
          <w:rFonts w:ascii="Times New Roman" w:hAnsi="Times New Roman" w:cs="Times New Roman"/>
          <w:sz w:val="24"/>
          <w:szCs w:val="24"/>
        </w:rPr>
        <w:t>tbalstīt informatīvajā ziņojumā ietverto informāciju par tālāko zinātnes un augstākās izglītības finansēšanas sasaisti ar zinātnes starptautiskā novērtējuma rezultātiem.</w:t>
      </w:r>
    </w:p>
    <w:p w14:paraId="4A8DBC33" w14:textId="7A2C0896" w:rsidR="00F048F0" w:rsidRPr="00F048F0" w:rsidRDefault="00F048F0" w:rsidP="00F048F0">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F048F0">
        <w:rPr>
          <w:rFonts w:ascii="Times New Roman" w:hAnsi="Times New Roman" w:cs="Times New Roman"/>
          <w:sz w:val="24"/>
          <w:szCs w:val="24"/>
        </w:rPr>
        <w:t>Izglītības un zinātnes ministrijai sagatavot un izglītības un zinātnes ministram līdz 2021. gada 30. novembrim iesniegt Ministru kabinetā pieņemšanai Ministru kabineta noteikumu projektu jaunai kārtībai, kādā aprēķina un piešķir zinātnes bāzes finansējumu valsts zinātniskajām institūcijām, kurā būtu aktualizēta sasaiste ar zinātnisko institūciju darbības starptautisko izvērtējumu, ieviesta lielāka zinātnes snieguma nozīme zinātnes bāzes finansējuma piešķīrumā un ieviesta jauna zinātnisko institūciju attīstības finansējuma komponente.</w:t>
      </w:r>
    </w:p>
    <w:p w14:paraId="3A79DA67" w14:textId="77777777" w:rsidR="00F048F0" w:rsidRPr="00F048F0" w:rsidRDefault="00F048F0" w:rsidP="00F048F0">
      <w:pPr>
        <w:ind w:firstLine="720"/>
        <w:jc w:val="both"/>
        <w:rPr>
          <w:rFonts w:ascii="Times New Roman" w:hAnsi="Times New Roman" w:cs="Times New Roman"/>
          <w:sz w:val="24"/>
          <w:szCs w:val="24"/>
        </w:rPr>
      </w:pPr>
    </w:p>
    <w:p w14:paraId="7BF06FB5" w14:textId="77777777" w:rsidR="00F048F0" w:rsidRDefault="00F048F0" w:rsidP="00F048F0">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F048F0">
        <w:rPr>
          <w:rFonts w:ascii="Times New Roman" w:hAnsi="Times New Roman" w:cs="Times New Roman"/>
          <w:sz w:val="24"/>
          <w:szCs w:val="24"/>
        </w:rPr>
        <w:t xml:space="preserve">Izglītības un zinātnes ministrijai sagatavot un izglītības un zinātnes ministram līdz 2021. gada 31. decembrim iesniegt grozījumus Ministru kabineta 2006. gada 12. decembra noteikumos </w:t>
      </w:r>
      <w:r w:rsidRPr="00F048F0">
        <w:rPr>
          <w:rFonts w:ascii="Times New Roman" w:hAnsi="Times New Roman" w:cs="Times New Roman"/>
          <w:sz w:val="24"/>
          <w:szCs w:val="24"/>
        </w:rPr>
        <w:lastRenderedPageBreak/>
        <w:t>„Kārtība, kādā augstskolas un koledžas tiek finansētas no valsts budžeta līdzekļiem”, ieviešot zinātnisko institūciju darbības starptautiskā izvērtējuma sasaisti ar augstākās i</w:t>
      </w:r>
      <w:r>
        <w:rPr>
          <w:rFonts w:ascii="Times New Roman" w:hAnsi="Times New Roman" w:cs="Times New Roman"/>
          <w:sz w:val="24"/>
          <w:szCs w:val="24"/>
        </w:rPr>
        <w:t>zglītības finansēšanas kārtību.</w:t>
      </w:r>
    </w:p>
    <w:p w14:paraId="6BAC0EC5" w14:textId="0D97EF85" w:rsidR="00F048F0" w:rsidRDefault="00F048F0" w:rsidP="00F048F0">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F048F0">
        <w:rPr>
          <w:rFonts w:ascii="Times New Roman" w:hAnsi="Times New Roman" w:cs="Times New Roman"/>
          <w:sz w:val="24"/>
          <w:szCs w:val="24"/>
        </w:rPr>
        <w:t>Jautājumu par papildu valsts budžeta līdzekļu piešķiršanu Izglītības un zinātnes ministrijai zinātnes bāzes finansējuma 2023.gadā 19 200 000 euro apmērā, 2024.gadā 29 800 000 euro apmērā un 2025.gadā euro 38 400 000 apmērā apmērā izskatīt Ministru kabinetā likumprojekta "Par valsts budžetu 2023.gadam" un likumprojekta "Par vidējā termiņa budžeta ietvaru 2023., 2024. un 2025.gadam" sagatavošanas procesā kopā ar visu ministriju un citu centrālo valsts iestāžu priekšlikumiem prioritārajiem pasākumiem atbilstoši valsts budžeta finansiālajām iespējām.</w:t>
      </w:r>
    </w:p>
    <w:p w14:paraId="18CC729F" w14:textId="77777777" w:rsidR="00F048F0" w:rsidRDefault="00F048F0" w:rsidP="00F048F0">
      <w:pPr>
        <w:ind w:firstLine="720"/>
        <w:jc w:val="both"/>
        <w:rPr>
          <w:rFonts w:ascii="Times New Roman" w:hAnsi="Times New Roman" w:cs="Times New Roman"/>
          <w:sz w:val="24"/>
          <w:szCs w:val="24"/>
        </w:rPr>
      </w:pPr>
    </w:p>
    <w:p w14:paraId="7656052A" w14:textId="77777777" w:rsidR="00F048F0" w:rsidRDefault="00F048F0" w:rsidP="00F048F0">
      <w:pPr>
        <w:ind w:firstLine="720"/>
        <w:jc w:val="both"/>
        <w:rPr>
          <w:rFonts w:ascii="Times New Roman" w:hAnsi="Times New Roman" w:cs="Times New Roman"/>
          <w:sz w:val="24"/>
          <w:szCs w:val="24"/>
        </w:rPr>
      </w:pPr>
    </w:p>
    <w:p w14:paraId="5D11206E" w14:textId="77777777" w:rsidR="00F048F0" w:rsidRPr="00F048F0" w:rsidRDefault="00F048F0" w:rsidP="00F048F0">
      <w:pPr>
        <w:ind w:firstLine="720"/>
        <w:jc w:val="both"/>
        <w:rPr>
          <w:rFonts w:ascii="Times New Roman" w:hAnsi="Times New Roman" w:cs="Times New Roman"/>
          <w:sz w:val="24"/>
          <w:szCs w:val="24"/>
        </w:rPr>
      </w:pPr>
      <w:bookmarkStart w:id="2" w:name="_GoBack"/>
      <w:bookmarkEnd w:id="2"/>
    </w:p>
    <w:p w14:paraId="3735A952" w14:textId="77777777" w:rsidR="005450D5" w:rsidRPr="005450D5" w:rsidRDefault="005450D5" w:rsidP="005450D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eastAsia="en-GB"/>
        </w:rPr>
      </w:pPr>
      <w:r w:rsidRPr="005450D5">
        <w:rPr>
          <w:rFonts w:ascii="Times New Roman" w:eastAsia="Times New Roman" w:hAnsi="Times New Roman" w:cs="Times New Roman"/>
          <w:sz w:val="24"/>
          <w:szCs w:val="24"/>
          <w:lang w:eastAsia="en-GB"/>
        </w:rPr>
        <w:t>Izglītības un zinātnes ministre</w:t>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t>A. Muižniece</w:t>
      </w:r>
    </w:p>
    <w:p w14:paraId="20AD79DF" w14:textId="77777777" w:rsidR="005450D5" w:rsidRPr="005450D5" w:rsidRDefault="005450D5" w:rsidP="005450D5">
      <w:pPr>
        <w:spacing w:after="0" w:line="240" w:lineRule="auto"/>
        <w:jc w:val="both"/>
        <w:rPr>
          <w:rFonts w:ascii="Times New Roman" w:eastAsia="Times New Roman" w:hAnsi="Times New Roman" w:cs="Times New Roman"/>
          <w:sz w:val="24"/>
          <w:szCs w:val="24"/>
          <w:lang w:eastAsia="en-GB"/>
        </w:rPr>
      </w:pPr>
    </w:p>
    <w:p w14:paraId="3A2913A3" w14:textId="77777777" w:rsidR="005450D5" w:rsidRPr="005450D5" w:rsidRDefault="005450D5" w:rsidP="005450D5">
      <w:pPr>
        <w:spacing w:after="0" w:line="240" w:lineRule="auto"/>
        <w:ind w:firstLine="720"/>
        <w:jc w:val="both"/>
        <w:rPr>
          <w:rFonts w:ascii="Times New Roman" w:eastAsia="Times New Roman" w:hAnsi="Times New Roman" w:cs="Times New Roman"/>
          <w:sz w:val="24"/>
          <w:szCs w:val="24"/>
          <w:lang w:eastAsia="en-GB"/>
        </w:rPr>
      </w:pPr>
      <w:r w:rsidRPr="005450D5">
        <w:rPr>
          <w:rFonts w:ascii="Times New Roman" w:eastAsia="Times New Roman" w:hAnsi="Times New Roman" w:cs="Times New Roman"/>
          <w:sz w:val="24"/>
          <w:szCs w:val="24"/>
          <w:lang w:eastAsia="en-GB"/>
        </w:rPr>
        <w:t>Vīza:</w:t>
      </w:r>
    </w:p>
    <w:p w14:paraId="54E333D3" w14:textId="77777777" w:rsidR="005450D5" w:rsidRPr="005450D5" w:rsidRDefault="005450D5" w:rsidP="005450D5">
      <w:pPr>
        <w:spacing w:after="0" w:line="240" w:lineRule="auto"/>
        <w:ind w:firstLine="720"/>
        <w:rPr>
          <w:rFonts w:ascii="Times New Roman" w:eastAsia="Times New Roman" w:hAnsi="Times New Roman" w:cs="Times New Roman"/>
          <w:sz w:val="24"/>
          <w:szCs w:val="24"/>
          <w:lang w:eastAsia="en-GB"/>
        </w:rPr>
      </w:pPr>
      <w:r w:rsidRPr="005450D5">
        <w:rPr>
          <w:rFonts w:ascii="Times New Roman" w:eastAsia="Times New Roman" w:hAnsi="Times New Roman" w:cs="Times New Roman"/>
          <w:sz w:val="24"/>
          <w:szCs w:val="24"/>
          <w:lang w:eastAsia="en-GB"/>
        </w:rPr>
        <w:t xml:space="preserve">Valsts sekretāra vietniece - </w:t>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r w:rsidRPr="005450D5">
        <w:rPr>
          <w:rFonts w:ascii="Times New Roman" w:eastAsia="Times New Roman" w:hAnsi="Times New Roman" w:cs="Times New Roman"/>
          <w:sz w:val="24"/>
          <w:szCs w:val="24"/>
          <w:lang w:eastAsia="en-GB"/>
        </w:rPr>
        <w:tab/>
      </w:r>
    </w:p>
    <w:p w14:paraId="2B47F6CD" w14:textId="77777777" w:rsidR="005450D5" w:rsidRPr="005450D5" w:rsidRDefault="005450D5" w:rsidP="005450D5">
      <w:pPr>
        <w:spacing w:after="0" w:line="240" w:lineRule="auto"/>
        <w:ind w:firstLine="720"/>
        <w:rPr>
          <w:rFonts w:ascii="Times New Roman" w:eastAsia="Times New Roman" w:hAnsi="Times New Roman" w:cs="Times New Roman"/>
          <w:sz w:val="24"/>
          <w:szCs w:val="24"/>
          <w:lang w:eastAsia="en-GB"/>
        </w:rPr>
      </w:pPr>
      <w:r w:rsidRPr="005450D5">
        <w:rPr>
          <w:rFonts w:ascii="Times New Roman" w:eastAsia="Times New Roman" w:hAnsi="Times New Roman" w:cs="Times New Roman"/>
          <w:sz w:val="24"/>
          <w:szCs w:val="24"/>
          <w:lang w:eastAsia="en-GB"/>
        </w:rPr>
        <w:t xml:space="preserve">Struktūrfondu departamenta direktore                                                            </w:t>
      </w:r>
    </w:p>
    <w:p w14:paraId="02D3E573" w14:textId="02F705E3" w:rsidR="005450D5" w:rsidRPr="005450D5" w:rsidRDefault="005450D5" w:rsidP="005450D5">
      <w:pPr>
        <w:spacing w:after="0" w:line="240" w:lineRule="auto"/>
        <w:ind w:firstLine="720"/>
        <w:rPr>
          <w:rFonts w:ascii="Times New Roman" w:eastAsia="Times New Roman" w:hAnsi="Times New Roman" w:cs="Times New Roman"/>
          <w:sz w:val="24"/>
          <w:szCs w:val="24"/>
          <w:lang w:eastAsia="en-GB"/>
        </w:rPr>
      </w:pPr>
      <w:r w:rsidRPr="005450D5">
        <w:rPr>
          <w:rFonts w:ascii="Times New Roman" w:eastAsia="Times New Roman" w:hAnsi="Times New Roman" w:cs="Times New Roman"/>
          <w:sz w:val="24"/>
          <w:szCs w:val="24"/>
          <w:lang w:eastAsia="en-GB"/>
        </w:rPr>
        <w:t xml:space="preserve">valsts sekretāra pienākumu izpildītāja                                          </w:t>
      </w:r>
      <w:r>
        <w:rPr>
          <w:rFonts w:ascii="Times New Roman" w:eastAsia="Times New Roman" w:hAnsi="Times New Roman" w:cs="Times New Roman"/>
          <w:sz w:val="24"/>
          <w:szCs w:val="24"/>
          <w:lang w:eastAsia="en-GB"/>
        </w:rPr>
        <w:t xml:space="preserve">                </w:t>
      </w:r>
      <w:r w:rsidRPr="005450D5">
        <w:rPr>
          <w:rFonts w:ascii="Times New Roman" w:eastAsia="Times New Roman" w:hAnsi="Times New Roman" w:cs="Times New Roman"/>
          <w:sz w:val="24"/>
          <w:szCs w:val="24"/>
          <w:lang w:eastAsia="en-GB"/>
        </w:rPr>
        <w:t xml:space="preserve">  S. Šmīdlere</w:t>
      </w:r>
    </w:p>
    <w:p w14:paraId="14285436" w14:textId="5E1D0236" w:rsidR="0030101D" w:rsidRDefault="0030101D" w:rsidP="00934850">
      <w:pPr>
        <w:jc w:val="both"/>
        <w:rPr>
          <w:rFonts w:ascii="Times New Roman" w:hAnsi="Times New Roman" w:cs="Times New Roman"/>
          <w:sz w:val="24"/>
          <w:szCs w:val="24"/>
        </w:rPr>
      </w:pPr>
    </w:p>
    <w:p w14:paraId="0DF4AA0C" w14:textId="77777777" w:rsidR="007C7CC3" w:rsidRDefault="007C7CC3" w:rsidP="00934850">
      <w:pPr>
        <w:jc w:val="both"/>
        <w:rPr>
          <w:rFonts w:ascii="Times New Roman" w:hAnsi="Times New Roman" w:cs="Times New Roman"/>
          <w:sz w:val="24"/>
          <w:szCs w:val="24"/>
        </w:rPr>
      </w:pPr>
    </w:p>
    <w:p w14:paraId="7E2C47AD" w14:textId="77777777" w:rsidR="007C7CC3" w:rsidRDefault="007C7CC3" w:rsidP="00934850">
      <w:pPr>
        <w:jc w:val="both"/>
        <w:rPr>
          <w:rFonts w:ascii="Times New Roman" w:hAnsi="Times New Roman" w:cs="Times New Roman"/>
          <w:sz w:val="24"/>
          <w:szCs w:val="24"/>
        </w:rPr>
      </w:pPr>
    </w:p>
    <w:p w14:paraId="03C6B655" w14:textId="77777777" w:rsidR="007C7CC3" w:rsidRDefault="007C7CC3" w:rsidP="00934850">
      <w:pPr>
        <w:jc w:val="both"/>
        <w:rPr>
          <w:rFonts w:ascii="Times New Roman" w:hAnsi="Times New Roman" w:cs="Times New Roman"/>
          <w:sz w:val="24"/>
          <w:szCs w:val="24"/>
        </w:rPr>
      </w:pPr>
    </w:p>
    <w:p w14:paraId="794D7F5E" w14:textId="77777777" w:rsidR="007C7CC3" w:rsidRPr="006913F3" w:rsidRDefault="007C7CC3" w:rsidP="00934850">
      <w:pPr>
        <w:jc w:val="both"/>
        <w:rPr>
          <w:rFonts w:ascii="Times New Roman" w:hAnsi="Times New Roman" w:cs="Times New Roman"/>
          <w:sz w:val="24"/>
          <w:szCs w:val="24"/>
        </w:rPr>
      </w:pPr>
    </w:p>
    <w:p w14:paraId="674489EB" w14:textId="77777777" w:rsidR="0027111D" w:rsidRPr="006913F3" w:rsidRDefault="0027111D" w:rsidP="0027111D">
      <w:pPr>
        <w:pStyle w:val="Body"/>
        <w:pBdr>
          <w:top w:val="none" w:sz="0" w:space="0" w:color="auto"/>
          <w:left w:val="none" w:sz="0" w:space="0" w:color="auto"/>
          <w:bottom w:val="none" w:sz="0" w:space="0" w:color="auto"/>
          <w:right w:val="none" w:sz="0" w:space="0" w:color="auto"/>
        </w:pBdr>
        <w:rPr>
          <w:lang w:val="lv-LV"/>
        </w:rPr>
      </w:pPr>
      <w:r w:rsidRPr="006913F3">
        <w:rPr>
          <w:lang w:val="lv-LV"/>
        </w:rPr>
        <w:t xml:space="preserve">Paiders 67047936 </w:t>
      </w:r>
    </w:p>
    <w:p w14:paraId="4B6BE0ED" w14:textId="77777777" w:rsidR="0027111D" w:rsidRPr="006913F3" w:rsidRDefault="00067CD0" w:rsidP="0027111D">
      <w:pPr>
        <w:pStyle w:val="Body"/>
        <w:pBdr>
          <w:top w:val="none" w:sz="0" w:space="0" w:color="auto"/>
          <w:left w:val="none" w:sz="0" w:space="0" w:color="auto"/>
          <w:bottom w:val="none" w:sz="0" w:space="0" w:color="auto"/>
          <w:right w:val="none" w:sz="0" w:space="0" w:color="auto"/>
        </w:pBdr>
        <w:rPr>
          <w:lang w:val="lv-LV"/>
        </w:rPr>
      </w:pPr>
      <w:hyperlink r:id="rId27" w:history="1">
        <w:r w:rsidR="0027111D" w:rsidRPr="006913F3">
          <w:rPr>
            <w:rStyle w:val="Hyperlink"/>
            <w:lang w:val="lv-LV"/>
          </w:rPr>
          <w:t>janis.paiders@izm.gov.lv</w:t>
        </w:r>
      </w:hyperlink>
    </w:p>
    <w:p w14:paraId="4B47899B" w14:textId="77777777" w:rsidR="0027111D" w:rsidRPr="006913F3" w:rsidRDefault="0027111D" w:rsidP="00934850">
      <w:pPr>
        <w:jc w:val="both"/>
        <w:rPr>
          <w:rFonts w:ascii="Times New Roman" w:hAnsi="Times New Roman" w:cs="Times New Roman"/>
          <w:sz w:val="24"/>
          <w:szCs w:val="24"/>
        </w:rPr>
      </w:pPr>
    </w:p>
    <w:sectPr w:rsidR="0027111D" w:rsidRPr="006913F3" w:rsidSect="005B7BA2">
      <w:footerReference w:type="defaul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EDE9" w14:textId="77777777" w:rsidR="00067CD0" w:rsidRDefault="00067CD0" w:rsidP="00734E4B">
      <w:pPr>
        <w:spacing w:after="0" w:line="240" w:lineRule="auto"/>
      </w:pPr>
      <w:r>
        <w:separator/>
      </w:r>
    </w:p>
  </w:endnote>
  <w:endnote w:type="continuationSeparator" w:id="0">
    <w:p w14:paraId="4C82102A" w14:textId="77777777" w:rsidR="00067CD0" w:rsidRDefault="00067CD0" w:rsidP="0073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T 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164057"/>
      <w:docPartObj>
        <w:docPartGallery w:val="Page Numbers (Bottom of Page)"/>
        <w:docPartUnique/>
      </w:docPartObj>
    </w:sdtPr>
    <w:sdtEndPr>
      <w:rPr>
        <w:rFonts w:ascii="Times New Roman" w:hAnsi="Times New Roman" w:cs="Times New Roman"/>
        <w:noProof/>
      </w:rPr>
    </w:sdtEndPr>
    <w:sdtContent>
      <w:p w14:paraId="29683645" w14:textId="1E1966BA" w:rsidR="00433E4C" w:rsidRPr="003D3331" w:rsidRDefault="00433E4C">
        <w:pPr>
          <w:pStyle w:val="Footer"/>
          <w:jc w:val="right"/>
          <w:rPr>
            <w:rFonts w:ascii="Times New Roman" w:hAnsi="Times New Roman" w:cs="Times New Roman"/>
          </w:rPr>
        </w:pPr>
        <w:r w:rsidRPr="003D3331">
          <w:rPr>
            <w:rFonts w:ascii="Times New Roman" w:hAnsi="Times New Roman" w:cs="Times New Roman"/>
          </w:rPr>
          <w:fldChar w:fldCharType="begin"/>
        </w:r>
        <w:r w:rsidRPr="003D3331">
          <w:rPr>
            <w:rFonts w:ascii="Times New Roman" w:hAnsi="Times New Roman" w:cs="Times New Roman"/>
          </w:rPr>
          <w:instrText xml:space="preserve"> PAGE   \* MERGEFORMAT </w:instrText>
        </w:r>
        <w:r w:rsidRPr="003D3331">
          <w:rPr>
            <w:rFonts w:ascii="Times New Roman" w:hAnsi="Times New Roman" w:cs="Times New Roman"/>
          </w:rPr>
          <w:fldChar w:fldCharType="separate"/>
        </w:r>
        <w:r w:rsidR="00F048F0">
          <w:rPr>
            <w:rFonts w:ascii="Times New Roman" w:hAnsi="Times New Roman" w:cs="Times New Roman"/>
            <w:noProof/>
          </w:rPr>
          <w:t>21</w:t>
        </w:r>
        <w:r w:rsidRPr="003D3331">
          <w:rPr>
            <w:rFonts w:ascii="Times New Roman" w:hAnsi="Times New Roman" w:cs="Times New Roman"/>
            <w:noProof/>
          </w:rPr>
          <w:fldChar w:fldCharType="end"/>
        </w:r>
      </w:p>
    </w:sdtContent>
  </w:sdt>
  <w:p w14:paraId="281668CE" w14:textId="145B5CC3" w:rsidR="00433E4C" w:rsidRPr="003D3331" w:rsidRDefault="00433E4C">
    <w:pPr>
      <w:pStyle w:val="Footer"/>
      <w:rPr>
        <w:rFonts w:ascii="Times New Roman" w:hAnsi="Times New Roman" w:cs="Times New Roman"/>
      </w:rPr>
    </w:pPr>
    <w:r w:rsidRPr="003D3331">
      <w:rPr>
        <w:rFonts w:ascii="Times New Roman" w:hAnsi="Times New Roman" w:cs="Times New Roman"/>
      </w:rPr>
      <w:t>IZMzin_290721_ZinBaze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068BF" w14:textId="77777777" w:rsidR="00067CD0" w:rsidRDefault="00067CD0" w:rsidP="00734E4B">
      <w:pPr>
        <w:spacing w:after="0" w:line="240" w:lineRule="auto"/>
      </w:pPr>
      <w:r>
        <w:separator/>
      </w:r>
    </w:p>
  </w:footnote>
  <w:footnote w:type="continuationSeparator" w:id="0">
    <w:p w14:paraId="029EFFC0" w14:textId="77777777" w:rsidR="00067CD0" w:rsidRDefault="00067CD0" w:rsidP="00734E4B">
      <w:pPr>
        <w:spacing w:after="0" w:line="240" w:lineRule="auto"/>
      </w:pPr>
      <w:r>
        <w:continuationSeparator/>
      </w:r>
    </w:p>
  </w:footnote>
  <w:footnote w:id="1">
    <w:p w14:paraId="474FBBC1" w14:textId="334D24B5" w:rsidR="00433E4C" w:rsidRPr="008B4668" w:rsidRDefault="00433E4C">
      <w:pPr>
        <w:pStyle w:val="FootnoteText"/>
        <w:rPr>
          <w:rFonts w:ascii="Times New Roman" w:hAnsi="Times New Roman" w:cs="Times New Roman"/>
        </w:rPr>
      </w:pPr>
      <w:r w:rsidRPr="008B4668">
        <w:rPr>
          <w:rStyle w:val="FootnoteReference"/>
          <w:rFonts w:ascii="Times New Roman" w:hAnsi="Times New Roman" w:cs="Times New Roman"/>
        </w:rPr>
        <w:footnoteRef/>
      </w:r>
      <w:r w:rsidRPr="008B4668">
        <w:rPr>
          <w:rFonts w:ascii="Times New Roman" w:hAnsi="Times New Roman" w:cs="Times New Roman"/>
        </w:rPr>
        <w:t xml:space="preserve"> IZM budžeta apakšprogramma 05.02.00 Zinātnes bāzes finansējums</w:t>
      </w:r>
    </w:p>
  </w:footnote>
  <w:footnote w:id="2">
    <w:p w14:paraId="4A66923C" w14:textId="61B998F1" w:rsidR="00433E4C" w:rsidRPr="008B4668" w:rsidRDefault="00433E4C">
      <w:pPr>
        <w:pStyle w:val="FootnoteText"/>
        <w:rPr>
          <w:rFonts w:ascii="Times New Roman" w:hAnsi="Times New Roman" w:cs="Times New Roman"/>
        </w:rPr>
      </w:pPr>
      <w:r w:rsidRPr="008B4668">
        <w:rPr>
          <w:rStyle w:val="FootnoteReference"/>
          <w:rFonts w:ascii="Times New Roman" w:hAnsi="Times New Roman" w:cs="Times New Roman"/>
        </w:rPr>
        <w:footnoteRef/>
      </w:r>
      <w:r w:rsidRPr="008B4668">
        <w:rPr>
          <w:rFonts w:ascii="Times New Roman" w:hAnsi="Times New Roman" w:cs="Times New Roman"/>
        </w:rPr>
        <w:t xml:space="preserve"> https://likumi.lv/ta/id/322858-par-latvijas-atveselosanas-un-noturibas-mehanisma-planu</w:t>
      </w:r>
    </w:p>
  </w:footnote>
  <w:footnote w:id="3">
    <w:p w14:paraId="21D465B1" w14:textId="7D37D0C5" w:rsidR="00433E4C" w:rsidRDefault="00433E4C">
      <w:pPr>
        <w:pStyle w:val="FootnoteText"/>
      </w:pPr>
      <w:r>
        <w:rPr>
          <w:rStyle w:val="FootnoteReference"/>
        </w:rPr>
        <w:footnoteRef/>
      </w:r>
      <w:r>
        <w:t xml:space="preserve"> </w:t>
      </w:r>
      <w:r w:rsidRPr="00FA2E9C">
        <w:t>https://likumi.lv/ta/id/37967-augstskolu-likums</w:t>
      </w:r>
    </w:p>
  </w:footnote>
  <w:footnote w:id="4">
    <w:p w14:paraId="0717768B" w14:textId="1335D1DA" w:rsidR="00433E4C" w:rsidRPr="003D3331" w:rsidRDefault="00433E4C">
      <w:pPr>
        <w:pStyle w:val="FootnoteText"/>
        <w:rPr>
          <w:lang w:val="en-US"/>
        </w:rPr>
      </w:pPr>
      <w:r>
        <w:rPr>
          <w:rStyle w:val="FootnoteReference"/>
        </w:rPr>
        <w:footnoteRef/>
      </w:r>
      <w:r>
        <w:t xml:space="preserve"> </w:t>
      </w:r>
      <w:r w:rsidRPr="00A04C15">
        <w:t>https://www.izm.gov.lv/lv/media/10721/download</w:t>
      </w:r>
    </w:p>
  </w:footnote>
  <w:footnote w:id="5">
    <w:p w14:paraId="4E94FF69" w14:textId="574EC6C3" w:rsidR="00433E4C" w:rsidRPr="003D3331" w:rsidRDefault="00433E4C">
      <w:pPr>
        <w:pStyle w:val="FootnoteText"/>
        <w:rPr>
          <w:lang w:val="en-US"/>
        </w:rPr>
      </w:pPr>
      <w:r>
        <w:rPr>
          <w:rStyle w:val="FootnoteReference"/>
        </w:rPr>
        <w:footnoteRef/>
      </w:r>
      <w:r>
        <w:t xml:space="preserve"> </w:t>
      </w:r>
      <w:r w:rsidRPr="00A04C15">
        <w:t>https://likumi.lv/ta/id/296661-noteikumi-par-latvijas-zinatnes-nozarem-un-apaksnozarem</w:t>
      </w:r>
    </w:p>
  </w:footnote>
  <w:footnote w:id="6">
    <w:p w14:paraId="3132D9FE" w14:textId="4346D7D1" w:rsidR="00433E4C" w:rsidRPr="003D3331" w:rsidRDefault="00433E4C">
      <w:pPr>
        <w:pStyle w:val="FootnoteText"/>
        <w:rPr>
          <w:lang w:val="en-US"/>
        </w:rPr>
      </w:pPr>
      <w:r>
        <w:rPr>
          <w:rStyle w:val="FootnoteReference"/>
        </w:rPr>
        <w:footnoteRef/>
      </w:r>
      <w:r>
        <w:t xml:space="preserve"> </w:t>
      </w:r>
      <w:r w:rsidRPr="00A04C15">
        <w:t>https://www.oecd.org/science/inno/38235147.pdf</w:t>
      </w:r>
    </w:p>
  </w:footnote>
  <w:footnote w:id="7">
    <w:p w14:paraId="340CD777" w14:textId="784950F1" w:rsidR="00433E4C" w:rsidRPr="003D3331" w:rsidRDefault="00433E4C">
      <w:pPr>
        <w:pStyle w:val="FootnoteText"/>
        <w:rPr>
          <w:rFonts w:ascii="Times New Roman" w:hAnsi="Times New Roman" w:cs="Times New Roman"/>
        </w:rPr>
      </w:pPr>
      <w:r w:rsidRPr="003D3331">
        <w:rPr>
          <w:rStyle w:val="FootnoteReference"/>
          <w:rFonts w:ascii="Times New Roman" w:hAnsi="Times New Roman" w:cs="Times New Roman"/>
        </w:rPr>
        <w:footnoteRef/>
      </w:r>
      <w:r w:rsidRPr="003D3331">
        <w:rPr>
          <w:rFonts w:ascii="Times New Roman" w:hAnsi="Times New Roman" w:cs="Times New Roman"/>
        </w:rPr>
        <w:t xml:space="preserve"> https://likumi.lv/ta/id/315879-par-latvijas-nacionalo-attistibas-planu-20212027-gadam-nap2027</w:t>
      </w:r>
    </w:p>
  </w:footnote>
  <w:footnote w:id="8">
    <w:p w14:paraId="2612D605" w14:textId="282DB7AB" w:rsidR="00433E4C" w:rsidRPr="003D3331" w:rsidRDefault="00433E4C">
      <w:pPr>
        <w:pStyle w:val="FootnoteText"/>
        <w:rPr>
          <w:rFonts w:ascii="Times New Roman" w:hAnsi="Times New Roman" w:cs="Times New Roman"/>
        </w:rPr>
      </w:pPr>
      <w:r w:rsidRPr="003D3331">
        <w:rPr>
          <w:rStyle w:val="FootnoteReference"/>
          <w:rFonts w:ascii="Times New Roman" w:hAnsi="Times New Roman" w:cs="Times New Roman"/>
        </w:rPr>
        <w:footnoteRef/>
      </w:r>
      <w:r w:rsidRPr="003D3331">
        <w:rPr>
          <w:rFonts w:ascii="Times New Roman" w:hAnsi="Times New Roman" w:cs="Times New Roman"/>
        </w:rPr>
        <w:t xml:space="preserve"> http://tap.mk.gov.lv/lv/mk/tap/?pid=40492546&amp;mode=mk&amp;date=2021-04-13</w:t>
      </w:r>
    </w:p>
  </w:footnote>
  <w:footnote w:id="9">
    <w:p w14:paraId="09474DC8" w14:textId="7A7E7B91" w:rsidR="00433E4C" w:rsidRPr="008B4668" w:rsidRDefault="00433E4C">
      <w:pPr>
        <w:pStyle w:val="FootnoteText"/>
        <w:rPr>
          <w:rFonts w:ascii="Times New Roman" w:hAnsi="Times New Roman" w:cs="Times New Roman"/>
        </w:rPr>
      </w:pPr>
      <w:r w:rsidRPr="008B4668">
        <w:rPr>
          <w:rStyle w:val="FootnoteReference"/>
          <w:rFonts w:ascii="Times New Roman" w:hAnsi="Times New Roman" w:cs="Times New Roman"/>
        </w:rPr>
        <w:footnoteRef/>
      </w:r>
      <w:r w:rsidRPr="008B4668">
        <w:rPr>
          <w:rFonts w:ascii="Times New Roman" w:hAnsi="Times New Roman" w:cs="Times New Roman"/>
        </w:rPr>
        <w:t xml:space="preserve"> https://stat.gov.lv/lv/statistikas-temas/izglitiba-kultura-zinatne/zinatne-petnieciba/tabulas/zpr030-izdevumi-zinatniski</w:t>
      </w:r>
    </w:p>
  </w:footnote>
  <w:footnote w:id="10">
    <w:p w14:paraId="0F53DB56" w14:textId="041B32EA" w:rsidR="00433E4C" w:rsidRPr="003D3331" w:rsidRDefault="00433E4C">
      <w:pPr>
        <w:pStyle w:val="FootnoteText"/>
        <w:rPr>
          <w:lang w:val="en-US"/>
        </w:rPr>
      </w:pPr>
      <w:r>
        <w:rPr>
          <w:rStyle w:val="FootnoteReference"/>
        </w:rPr>
        <w:footnoteRef/>
      </w:r>
      <w:r>
        <w:t xml:space="preserve"> </w:t>
      </w:r>
      <w:r>
        <w:rPr>
          <w:lang w:val="en-US"/>
        </w:rPr>
        <w:t>27 Eiropas Savienības dalībvalstis</w:t>
      </w:r>
    </w:p>
  </w:footnote>
  <w:footnote w:id="11">
    <w:p w14:paraId="5726CE77" w14:textId="7CAD72EE" w:rsidR="00433E4C" w:rsidRPr="003D3331" w:rsidRDefault="00433E4C">
      <w:pPr>
        <w:pStyle w:val="FootnoteText"/>
        <w:rPr>
          <w:lang w:val="en-US"/>
        </w:rPr>
      </w:pPr>
      <w:r>
        <w:rPr>
          <w:rStyle w:val="FootnoteReference"/>
        </w:rPr>
        <w:footnoteRef/>
      </w:r>
      <w:r>
        <w:t xml:space="preserve"> </w:t>
      </w:r>
      <w:r w:rsidRPr="00A04C15">
        <w:t>https://ec.europa.eu/docsroom/documents/46013</w:t>
      </w:r>
    </w:p>
  </w:footnote>
  <w:footnote w:id="12">
    <w:p w14:paraId="2334E483" w14:textId="64DCF2EE" w:rsidR="00433E4C" w:rsidRPr="003D3331" w:rsidRDefault="00433E4C">
      <w:pPr>
        <w:pStyle w:val="FootnoteText"/>
        <w:rPr>
          <w:lang w:val="en-US"/>
        </w:rPr>
      </w:pPr>
      <w:r>
        <w:rPr>
          <w:rStyle w:val="FootnoteReference"/>
        </w:rPr>
        <w:footnoteRef/>
      </w:r>
      <w:r>
        <w:t xml:space="preserve"> </w:t>
      </w:r>
      <w:r w:rsidRPr="00A04C15">
        <w:t>https://www.wipo.int/edocs/pubdocs/en/wipo_pub_gii_2019.pdf</w:t>
      </w:r>
    </w:p>
  </w:footnote>
  <w:footnote w:id="13">
    <w:p w14:paraId="75081533" w14:textId="71082E0C" w:rsidR="00433E4C" w:rsidRPr="003D3331" w:rsidRDefault="00433E4C">
      <w:pPr>
        <w:pStyle w:val="FootnoteText"/>
        <w:rPr>
          <w:lang w:val="en-US"/>
        </w:rPr>
      </w:pPr>
      <w:r>
        <w:rPr>
          <w:rStyle w:val="FootnoteReference"/>
        </w:rPr>
        <w:footnoteRef/>
      </w:r>
      <w:r>
        <w:t xml:space="preserve"> </w:t>
      </w:r>
      <w:r w:rsidRPr="00DC1887">
        <w:t>https://ec.europa.eu/eurostat/databrowser/view/RD_E_GERDFUND__custom_1211473/default/table?lang=en</w:t>
      </w:r>
    </w:p>
  </w:footnote>
  <w:footnote w:id="14">
    <w:p w14:paraId="45C33383" w14:textId="5B81B8E7" w:rsidR="00433E4C" w:rsidRPr="003D3331" w:rsidRDefault="00433E4C">
      <w:pPr>
        <w:pStyle w:val="FootnoteText"/>
        <w:rPr>
          <w:lang w:val="en-US"/>
        </w:rPr>
      </w:pPr>
      <w:r>
        <w:rPr>
          <w:rStyle w:val="FootnoteReference"/>
        </w:rPr>
        <w:footnoteRef/>
      </w:r>
      <w:r>
        <w:t xml:space="preserve"> </w:t>
      </w:r>
      <w:r>
        <w:rPr>
          <w:lang w:val="en-US"/>
        </w:rPr>
        <w:t xml:space="preserve">Ministrijas budžeta apakšprogramma </w:t>
      </w:r>
      <w:r w:rsidRPr="00892577">
        <w:rPr>
          <w:lang w:val="en-US"/>
        </w:rPr>
        <w:t>05.02.00 Zinātnes bāzes finansējums</w:t>
      </w:r>
    </w:p>
  </w:footnote>
  <w:footnote w:id="15">
    <w:p w14:paraId="63258E01" w14:textId="58DACFD0" w:rsidR="00433E4C" w:rsidRPr="003D3331" w:rsidRDefault="00433E4C">
      <w:pPr>
        <w:pStyle w:val="FootnoteText"/>
        <w:rPr>
          <w:lang w:val="en-US"/>
        </w:rPr>
      </w:pPr>
      <w:r>
        <w:rPr>
          <w:rStyle w:val="FootnoteReference"/>
        </w:rPr>
        <w:footnoteRef/>
      </w:r>
      <w:r>
        <w:t xml:space="preserve"> </w:t>
      </w:r>
      <w:r>
        <w:rPr>
          <w:lang w:val="en-US"/>
        </w:rPr>
        <w:t>Atbilstoši 2013.gada 12.novembra Ministru kabineta noteikumu Nr. 1316. ”</w:t>
      </w:r>
      <w:r w:rsidRPr="00277DB6">
        <w:t xml:space="preserve"> </w:t>
      </w:r>
      <w:r w:rsidRPr="00277DB6">
        <w:rPr>
          <w:lang w:val="en-US"/>
        </w:rPr>
        <w:t>Kārtība, kādā aprēķina un piešķir bāzes finansējumu zinātniskajām institūcijām</w:t>
      </w:r>
      <w:r>
        <w:rPr>
          <w:lang w:val="en-US"/>
        </w:rPr>
        <w:t>” 9.punktam</w:t>
      </w:r>
    </w:p>
  </w:footnote>
  <w:footnote w:id="16">
    <w:p w14:paraId="08403C63" w14:textId="16CEA365" w:rsidR="00433E4C" w:rsidRPr="003D3331" w:rsidRDefault="00433E4C">
      <w:pPr>
        <w:pStyle w:val="FootnoteText"/>
        <w:rPr>
          <w:lang w:val="en-US"/>
        </w:rPr>
      </w:pPr>
      <w:r>
        <w:rPr>
          <w:rStyle w:val="FootnoteReference"/>
        </w:rPr>
        <w:footnoteRef/>
      </w:r>
      <w:r>
        <w:t xml:space="preserve"> </w:t>
      </w:r>
      <w:r>
        <w:rPr>
          <w:lang w:val="en-US"/>
        </w:rPr>
        <w:t xml:space="preserve">Pieejamas Nacionālajā zinātniskās darbības informācijas sistēmā </w:t>
      </w:r>
      <w:r w:rsidRPr="00892577">
        <w:rPr>
          <w:lang w:val="en-US"/>
        </w:rPr>
        <w:t>https://sciencelatvia.lv/#/pub/user_material/191043</w:t>
      </w:r>
    </w:p>
  </w:footnote>
  <w:footnote w:id="17">
    <w:p w14:paraId="632B69DF" w14:textId="2FE917B1" w:rsidR="00433E4C" w:rsidRPr="009A7BD4" w:rsidRDefault="00433E4C">
      <w:pPr>
        <w:pStyle w:val="FootnoteText"/>
        <w:rPr>
          <w:rFonts w:ascii="Times New Roman" w:hAnsi="Times New Roman" w:cs="Times New Roman"/>
        </w:rPr>
      </w:pPr>
      <w:r w:rsidRPr="003D1BB5">
        <w:rPr>
          <w:rStyle w:val="FootnoteReference"/>
          <w:rFonts w:ascii="Times New Roman" w:hAnsi="Times New Roman" w:cs="Times New Roman"/>
        </w:rPr>
        <w:footnoteRef/>
      </w:r>
      <w:r w:rsidRPr="009A7BD4">
        <w:rPr>
          <w:rFonts w:ascii="Times New Roman" w:hAnsi="Times New Roman" w:cs="Times New Roman"/>
        </w:rPr>
        <w:t xml:space="preserve"> Salīdzinājuma gadi izvēlēti, jo 2018. – 2021.gadā bija gada sākumā piešķirtajā finansējumātikai  0 – 4 % izmaiņas kopējā institūcijām piešķiramā zinātnes bāzes finansejuma apmērā, kas ļauj izmaiņas novērtēt kontekstā ar izmaiņām aprēķinam izmantotajos kritērijos.</w:t>
      </w:r>
    </w:p>
  </w:footnote>
  <w:footnote w:id="18">
    <w:p w14:paraId="43F599C7" w14:textId="32A5CA71" w:rsidR="00433E4C" w:rsidRPr="003D3331" w:rsidRDefault="00433E4C">
      <w:pPr>
        <w:pStyle w:val="FootnoteText"/>
        <w:rPr>
          <w:lang w:val="en-US"/>
        </w:rPr>
      </w:pPr>
      <w:r>
        <w:rPr>
          <w:rStyle w:val="FootnoteReference"/>
        </w:rPr>
        <w:footnoteRef/>
      </w:r>
      <w:r>
        <w:t xml:space="preserve"> </w:t>
      </w:r>
      <w:r>
        <w:rPr>
          <w:lang w:val="en-US"/>
        </w:rPr>
        <w:t>Atbilstoši 2013.gada 12.novembra Ministru kabineta noteikumu Nr. 1316. ”</w:t>
      </w:r>
      <w:r w:rsidRPr="00277DB6">
        <w:t xml:space="preserve"> </w:t>
      </w:r>
      <w:r w:rsidRPr="00277DB6">
        <w:rPr>
          <w:lang w:val="en-US"/>
        </w:rPr>
        <w:t>Kārtība, kādā aprēķina un piešķir bāzes finansējumu zinātniskajām institūcijām</w:t>
      </w:r>
      <w:r w:rsidRPr="003D3331">
        <w:rPr>
          <w:rFonts w:ascii="Times New Roman" w:hAnsi="Times New Roman" w:cs="Times New Roman"/>
          <w:lang w:val="en-US"/>
        </w:rPr>
        <w:t xml:space="preserve">” </w:t>
      </w:r>
      <w:r w:rsidRPr="003D3331">
        <w:rPr>
          <w:rFonts w:ascii="Times New Roman" w:hAnsi="Times New Roman" w:cs="Times New Roman"/>
          <w:color w:val="414142"/>
          <w:shd w:val="clear" w:color="auto" w:fill="FFFFFF"/>
        </w:rPr>
        <w:t>11.</w:t>
      </w:r>
      <w:r w:rsidRPr="003D3331">
        <w:rPr>
          <w:rFonts w:ascii="Times New Roman" w:hAnsi="Times New Roman" w:cs="Times New Roman"/>
          <w:color w:val="414142"/>
          <w:shd w:val="clear" w:color="auto" w:fill="FFFFFF"/>
          <w:vertAlign w:val="superscript"/>
        </w:rPr>
        <w:t>3</w:t>
      </w:r>
      <w:r w:rsidRPr="003D3331">
        <w:rPr>
          <w:rFonts w:ascii="Times New Roman" w:hAnsi="Times New Roman" w:cs="Times New Roman"/>
          <w:color w:val="414142"/>
          <w:shd w:val="clear" w:color="auto" w:fill="FFFFFF"/>
        </w:rPr>
        <w:t> 2.</w:t>
      </w:r>
      <w:r>
        <w:rPr>
          <w:rFonts w:ascii="Times New Roman" w:hAnsi="Times New Roman" w:cs="Times New Roman"/>
          <w:lang w:val="en-US"/>
        </w:rPr>
        <w:t>apakš</w:t>
      </w:r>
      <w:r w:rsidRPr="003D3331">
        <w:rPr>
          <w:rFonts w:ascii="Times New Roman" w:hAnsi="Times New Roman" w:cs="Times New Roman"/>
          <w:lang w:val="en-US"/>
        </w:rPr>
        <w:t>punktam</w:t>
      </w:r>
    </w:p>
  </w:footnote>
  <w:footnote w:id="19">
    <w:p w14:paraId="3F183EF5" w14:textId="535734B0" w:rsidR="00433E4C" w:rsidRPr="00D0509B" w:rsidRDefault="00433E4C" w:rsidP="00277DB6">
      <w:pPr>
        <w:pStyle w:val="FootnoteText"/>
        <w:rPr>
          <w:lang w:val="en-US"/>
        </w:rPr>
      </w:pPr>
      <w:r>
        <w:rPr>
          <w:rStyle w:val="FootnoteReference"/>
        </w:rPr>
        <w:footnoteRef/>
      </w:r>
      <w:r>
        <w:t xml:space="preserve"> </w:t>
      </w:r>
      <w:r>
        <w:rPr>
          <w:lang w:val="en-US"/>
        </w:rPr>
        <w:t>2013.gada 12.novembra Ministru kabineta noteikumu Nr. 1316. ”</w:t>
      </w:r>
      <w:r w:rsidRPr="00277DB6">
        <w:t xml:space="preserve"> </w:t>
      </w:r>
      <w:r w:rsidRPr="00277DB6">
        <w:rPr>
          <w:lang w:val="en-US"/>
        </w:rPr>
        <w:t>Kārtība, kādā aprēķina un piešķir bāzes finansējumu zinātniskajām institūcijām</w:t>
      </w:r>
      <w:r w:rsidRPr="00D0509B">
        <w:rPr>
          <w:rFonts w:ascii="Times New Roman" w:hAnsi="Times New Roman" w:cs="Times New Roman"/>
          <w:lang w:val="en-US"/>
        </w:rPr>
        <w:t xml:space="preserve">” </w:t>
      </w:r>
      <w:r w:rsidRPr="00D0509B">
        <w:rPr>
          <w:rFonts w:ascii="Times New Roman" w:hAnsi="Times New Roman" w:cs="Times New Roman"/>
          <w:color w:val="414142"/>
          <w:shd w:val="clear" w:color="auto" w:fill="FFFFFF"/>
        </w:rPr>
        <w:t>2.</w:t>
      </w:r>
      <w:r>
        <w:rPr>
          <w:rFonts w:ascii="Times New Roman" w:hAnsi="Times New Roman" w:cs="Times New Roman"/>
          <w:lang w:val="en-US"/>
        </w:rPr>
        <w:t>punkts</w:t>
      </w:r>
    </w:p>
    <w:p w14:paraId="65125967" w14:textId="790A70B6" w:rsidR="00433E4C" w:rsidRPr="003D3331" w:rsidRDefault="00433E4C">
      <w:pPr>
        <w:pStyle w:val="FootnoteText"/>
        <w:rPr>
          <w:lang w:val="en-US"/>
        </w:rPr>
      </w:pPr>
    </w:p>
  </w:footnote>
  <w:footnote w:id="20">
    <w:p w14:paraId="30228996" w14:textId="56887C1F" w:rsidR="00433E4C" w:rsidRPr="003D3331" w:rsidRDefault="00433E4C" w:rsidP="003D3331">
      <w:pPr>
        <w:pStyle w:val="CommentText"/>
      </w:pPr>
      <w:r>
        <w:rPr>
          <w:rStyle w:val="FootnoteReference"/>
        </w:rPr>
        <w:footnoteRef/>
      </w:r>
      <w:r>
        <w:t xml:space="preserve"> </w:t>
      </w:r>
      <w:r>
        <w:rPr>
          <w:rFonts w:ascii="PT Serif" w:hAnsi="PT Serif"/>
          <w:color w:val="333333"/>
          <w:shd w:val="clear" w:color="auto" w:fill="FFFFFF"/>
        </w:rPr>
        <w:t>Humanitārajās jomās (letonikā un baltistikā) tās var būt starptautiski atzītām (citētām) zinātniskajām publikācijām pielīdzināmas publikācijas Latvijas vai Lietuvas zinātniskajos recenzētajos izdevumos, kā arī individuālās vai kolektīvās monogrāfijas, kurām ir kopsavilkums angļu valodā vai citā Eiropas Savienības valodā.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0546"/>
    <w:multiLevelType w:val="hybridMultilevel"/>
    <w:tmpl w:val="D9C8588C"/>
    <w:lvl w:ilvl="0" w:tplc="42C639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2C1439"/>
    <w:multiLevelType w:val="hybridMultilevel"/>
    <w:tmpl w:val="27C0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1310E"/>
    <w:multiLevelType w:val="hybridMultilevel"/>
    <w:tmpl w:val="4D0C3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41FC4"/>
    <w:multiLevelType w:val="hybridMultilevel"/>
    <w:tmpl w:val="B89A7522"/>
    <w:lvl w:ilvl="0" w:tplc="3942F4A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15307D2"/>
    <w:multiLevelType w:val="hybridMultilevel"/>
    <w:tmpl w:val="671AD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33B6C"/>
    <w:multiLevelType w:val="hybridMultilevel"/>
    <w:tmpl w:val="8F1A8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E543E1"/>
    <w:multiLevelType w:val="hybridMultilevel"/>
    <w:tmpl w:val="860E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B77CC7"/>
    <w:multiLevelType w:val="multilevel"/>
    <w:tmpl w:val="4BF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642CCD"/>
    <w:multiLevelType w:val="hybridMultilevel"/>
    <w:tmpl w:val="E3B2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54A15"/>
    <w:multiLevelType w:val="hybridMultilevel"/>
    <w:tmpl w:val="92F6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C0323A"/>
    <w:multiLevelType w:val="hybridMultilevel"/>
    <w:tmpl w:val="4EE8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15A6C"/>
    <w:multiLevelType w:val="hybridMultilevel"/>
    <w:tmpl w:val="7194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E3D81"/>
    <w:multiLevelType w:val="hybridMultilevel"/>
    <w:tmpl w:val="85E0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8A1A28"/>
    <w:multiLevelType w:val="hybridMultilevel"/>
    <w:tmpl w:val="2C1A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35E7F"/>
    <w:multiLevelType w:val="hybridMultilevel"/>
    <w:tmpl w:val="E50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F5310"/>
    <w:multiLevelType w:val="hybridMultilevel"/>
    <w:tmpl w:val="CE0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027B8"/>
    <w:multiLevelType w:val="hybridMultilevel"/>
    <w:tmpl w:val="B284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987216"/>
    <w:multiLevelType w:val="hybridMultilevel"/>
    <w:tmpl w:val="20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7"/>
  </w:num>
  <w:num w:numId="4">
    <w:abstractNumId w:val="13"/>
  </w:num>
  <w:num w:numId="5">
    <w:abstractNumId w:val="8"/>
  </w:num>
  <w:num w:numId="6">
    <w:abstractNumId w:val="12"/>
  </w:num>
  <w:num w:numId="7">
    <w:abstractNumId w:val="7"/>
  </w:num>
  <w:num w:numId="8">
    <w:abstractNumId w:val="6"/>
  </w:num>
  <w:num w:numId="9">
    <w:abstractNumId w:val="4"/>
  </w:num>
  <w:num w:numId="10">
    <w:abstractNumId w:val="1"/>
  </w:num>
  <w:num w:numId="11">
    <w:abstractNumId w:val="16"/>
  </w:num>
  <w:num w:numId="12">
    <w:abstractNumId w:val="5"/>
  </w:num>
  <w:num w:numId="13">
    <w:abstractNumId w:val="9"/>
  </w:num>
  <w:num w:numId="14">
    <w:abstractNumId w:val="3"/>
  </w:num>
  <w:num w:numId="15">
    <w:abstractNumId w:val="11"/>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Tc3NzSxNLc0NzdV0lEKTi0uzszPAykwqgUAiJ2rriwAAAA="/>
  </w:docVars>
  <w:rsids>
    <w:rsidRoot w:val="00875C47"/>
    <w:rsid w:val="00023552"/>
    <w:rsid w:val="00033187"/>
    <w:rsid w:val="00046E8C"/>
    <w:rsid w:val="00067CD0"/>
    <w:rsid w:val="00082712"/>
    <w:rsid w:val="00094E1D"/>
    <w:rsid w:val="000B0816"/>
    <w:rsid w:val="000C6F8E"/>
    <w:rsid w:val="000F4D9D"/>
    <w:rsid w:val="00104388"/>
    <w:rsid w:val="00124A1A"/>
    <w:rsid w:val="00134E73"/>
    <w:rsid w:val="00190F05"/>
    <w:rsid w:val="00195B4F"/>
    <w:rsid w:val="001C2173"/>
    <w:rsid w:val="001C27A3"/>
    <w:rsid w:val="002007D6"/>
    <w:rsid w:val="00204CE1"/>
    <w:rsid w:val="0022278B"/>
    <w:rsid w:val="0023130D"/>
    <w:rsid w:val="00234DA3"/>
    <w:rsid w:val="00234FDC"/>
    <w:rsid w:val="00235875"/>
    <w:rsid w:val="0023595D"/>
    <w:rsid w:val="002434B7"/>
    <w:rsid w:val="002467E6"/>
    <w:rsid w:val="00246EB8"/>
    <w:rsid w:val="00247F42"/>
    <w:rsid w:val="00266386"/>
    <w:rsid w:val="0027111D"/>
    <w:rsid w:val="00277DB6"/>
    <w:rsid w:val="00292FE6"/>
    <w:rsid w:val="0029395E"/>
    <w:rsid w:val="0029599B"/>
    <w:rsid w:val="002A5048"/>
    <w:rsid w:val="002A7F31"/>
    <w:rsid w:val="002C2912"/>
    <w:rsid w:val="002C6CE6"/>
    <w:rsid w:val="002C75A3"/>
    <w:rsid w:val="002D662D"/>
    <w:rsid w:val="002E1887"/>
    <w:rsid w:val="0030101D"/>
    <w:rsid w:val="00313C0D"/>
    <w:rsid w:val="003257E7"/>
    <w:rsid w:val="0033569B"/>
    <w:rsid w:val="00382B29"/>
    <w:rsid w:val="003A3016"/>
    <w:rsid w:val="003B6A49"/>
    <w:rsid w:val="003C04F0"/>
    <w:rsid w:val="003C632E"/>
    <w:rsid w:val="003C7F51"/>
    <w:rsid w:val="003D1BB5"/>
    <w:rsid w:val="003D3331"/>
    <w:rsid w:val="003E6D10"/>
    <w:rsid w:val="0040407A"/>
    <w:rsid w:val="004044EA"/>
    <w:rsid w:val="00413386"/>
    <w:rsid w:val="004153F6"/>
    <w:rsid w:val="004218A2"/>
    <w:rsid w:val="004237E5"/>
    <w:rsid w:val="00433E4C"/>
    <w:rsid w:val="00446C0A"/>
    <w:rsid w:val="0045153C"/>
    <w:rsid w:val="0046528D"/>
    <w:rsid w:val="0047147D"/>
    <w:rsid w:val="004A0F02"/>
    <w:rsid w:val="004D3982"/>
    <w:rsid w:val="004E2A48"/>
    <w:rsid w:val="0052650E"/>
    <w:rsid w:val="00536366"/>
    <w:rsid w:val="00543A11"/>
    <w:rsid w:val="005450D5"/>
    <w:rsid w:val="005542B4"/>
    <w:rsid w:val="00560878"/>
    <w:rsid w:val="00561ED3"/>
    <w:rsid w:val="00562455"/>
    <w:rsid w:val="005A57B3"/>
    <w:rsid w:val="005A6A0D"/>
    <w:rsid w:val="005B7BA2"/>
    <w:rsid w:val="005C26B2"/>
    <w:rsid w:val="00621904"/>
    <w:rsid w:val="00626C13"/>
    <w:rsid w:val="006507AA"/>
    <w:rsid w:val="00654B40"/>
    <w:rsid w:val="006913F3"/>
    <w:rsid w:val="00697A45"/>
    <w:rsid w:val="006A404B"/>
    <w:rsid w:val="006A50FD"/>
    <w:rsid w:val="006B79E5"/>
    <w:rsid w:val="006C110A"/>
    <w:rsid w:val="006C7E85"/>
    <w:rsid w:val="006E1BAA"/>
    <w:rsid w:val="006E627B"/>
    <w:rsid w:val="0071201C"/>
    <w:rsid w:val="007324D7"/>
    <w:rsid w:val="0073411C"/>
    <w:rsid w:val="00734E4B"/>
    <w:rsid w:val="00755FAE"/>
    <w:rsid w:val="007A73C1"/>
    <w:rsid w:val="007B033E"/>
    <w:rsid w:val="007B1389"/>
    <w:rsid w:val="007C7CC3"/>
    <w:rsid w:val="007E255F"/>
    <w:rsid w:val="00824606"/>
    <w:rsid w:val="00835569"/>
    <w:rsid w:val="00835FF8"/>
    <w:rsid w:val="00845D82"/>
    <w:rsid w:val="0085427C"/>
    <w:rsid w:val="00875C47"/>
    <w:rsid w:val="00892577"/>
    <w:rsid w:val="008A7BBE"/>
    <w:rsid w:val="008B4668"/>
    <w:rsid w:val="008F0938"/>
    <w:rsid w:val="0091537D"/>
    <w:rsid w:val="00934850"/>
    <w:rsid w:val="009730FD"/>
    <w:rsid w:val="00995C08"/>
    <w:rsid w:val="009A4D8E"/>
    <w:rsid w:val="009A7BD4"/>
    <w:rsid w:val="009C5A0D"/>
    <w:rsid w:val="009F49F3"/>
    <w:rsid w:val="009F5177"/>
    <w:rsid w:val="009F73D8"/>
    <w:rsid w:val="009F7B7A"/>
    <w:rsid w:val="00A04C15"/>
    <w:rsid w:val="00A340EF"/>
    <w:rsid w:val="00A40206"/>
    <w:rsid w:val="00A469A6"/>
    <w:rsid w:val="00A46C3C"/>
    <w:rsid w:val="00A52B3A"/>
    <w:rsid w:val="00A81CBC"/>
    <w:rsid w:val="00AB3FBC"/>
    <w:rsid w:val="00AC1E30"/>
    <w:rsid w:val="00AD525C"/>
    <w:rsid w:val="00AF0EAF"/>
    <w:rsid w:val="00AF66B6"/>
    <w:rsid w:val="00B251D4"/>
    <w:rsid w:val="00B47C19"/>
    <w:rsid w:val="00B51BF9"/>
    <w:rsid w:val="00B53A8D"/>
    <w:rsid w:val="00B61080"/>
    <w:rsid w:val="00B83F14"/>
    <w:rsid w:val="00B8665E"/>
    <w:rsid w:val="00B87BFF"/>
    <w:rsid w:val="00B87FAB"/>
    <w:rsid w:val="00B9078B"/>
    <w:rsid w:val="00B95A5F"/>
    <w:rsid w:val="00BA3A9E"/>
    <w:rsid w:val="00BC3CF3"/>
    <w:rsid w:val="00BD1876"/>
    <w:rsid w:val="00BD3DF8"/>
    <w:rsid w:val="00BD6340"/>
    <w:rsid w:val="00BE6AF3"/>
    <w:rsid w:val="00BE77E4"/>
    <w:rsid w:val="00C06202"/>
    <w:rsid w:val="00C10FFE"/>
    <w:rsid w:val="00C229CF"/>
    <w:rsid w:val="00C323BF"/>
    <w:rsid w:val="00C3423C"/>
    <w:rsid w:val="00C50B88"/>
    <w:rsid w:val="00C676FC"/>
    <w:rsid w:val="00C72F0C"/>
    <w:rsid w:val="00C81D81"/>
    <w:rsid w:val="00CB3D28"/>
    <w:rsid w:val="00CC34F9"/>
    <w:rsid w:val="00CD336F"/>
    <w:rsid w:val="00CE1BE0"/>
    <w:rsid w:val="00CE763C"/>
    <w:rsid w:val="00CF38AA"/>
    <w:rsid w:val="00D105DD"/>
    <w:rsid w:val="00D3292C"/>
    <w:rsid w:val="00D36DF5"/>
    <w:rsid w:val="00D477C9"/>
    <w:rsid w:val="00D500A3"/>
    <w:rsid w:val="00D521A4"/>
    <w:rsid w:val="00D54F46"/>
    <w:rsid w:val="00D57144"/>
    <w:rsid w:val="00D60E4B"/>
    <w:rsid w:val="00D6298C"/>
    <w:rsid w:val="00D83A1A"/>
    <w:rsid w:val="00D9078B"/>
    <w:rsid w:val="00DC1887"/>
    <w:rsid w:val="00DC243F"/>
    <w:rsid w:val="00DC70E7"/>
    <w:rsid w:val="00DD3A5B"/>
    <w:rsid w:val="00DE4FD8"/>
    <w:rsid w:val="00DF708F"/>
    <w:rsid w:val="00E13E38"/>
    <w:rsid w:val="00E3389F"/>
    <w:rsid w:val="00E40D59"/>
    <w:rsid w:val="00E4118C"/>
    <w:rsid w:val="00E41929"/>
    <w:rsid w:val="00E4249F"/>
    <w:rsid w:val="00E8288F"/>
    <w:rsid w:val="00E979E4"/>
    <w:rsid w:val="00EA4EEA"/>
    <w:rsid w:val="00EA57E5"/>
    <w:rsid w:val="00EA6587"/>
    <w:rsid w:val="00EB0F99"/>
    <w:rsid w:val="00EC40AC"/>
    <w:rsid w:val="00EC66CE"/>
    <w:rsid w:val="00F048F0"/>
    <w:rsid w:val="00F3784B"/>
    <w:rsid w:val="00F4182D"/>
    <w:rsid w:val="00F44B78"/>
    <w:rsid w:val="00F73CB3"/>
    <w:rsid w:val="00F756A8"/>
    <w:rsid w:val="00F81054"/>
    <w:rsid w:val="00F9052E"/>
    <w:rsid w:val="00F92C9C"/>
    <w:rsid w:val="00F97486"/>
    <w:rsid w:val="00FA2E9C"/>
    <w:rsid w:val="00FB1315"/>
    <w:rsid w:val="00FC3D7E"/>
    <w:rsid w:val="00FC4487"/>
    <w:rsid w:val="00FC4A67"/>
    <w:rsid w:val="00FE54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6747"/>
  <w15:chartTrackingRefBased/>
  <w15:docId w15:val="{65C7D900-E583-421F-B8DB-832A48FD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78"/>
    <w:pPr>
      <w:ind w:left="720"/>
      <w:contextualSpacing/>
    </w:pPr>
  </w:style>
  <w:style w:type="paragraph" w:styleId="FootnoteText">
    <w:name w:val="footnote text"/>
    <w:basedOn w:val="Normal"/>
    <w:link w:val="FootnoteTextChar"/>
    <w:uiPriority w:val="99"/>
    <w:semiHidden/>
    <w:unhideWhenUsed/>
    <w:rsid w:val="00734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E4B"/>
    <w:rPr>
      <w:sz w:val="20"/>
      <w:szCs w:val="20"/>
    </w:rPr>
  </w:style>
  <w:style w:type="character" w:styleId="FootnoteReference">
    <w:name w:val="footnote reference"/>
    <w:basedOn w:val="DefaultParagraphFont"/>
    <w:uiPriority w:val="99"/>
    <w:semiHidden/>
    <w:unhideWhenUsed/>
    <w:rsid w:val="00734E4B"/>
    <w:rPr>
      <w:vertAlign w:val="superscript"/>
    </w:rPr>
  </w:style>
  <w:style w:type="character" w:styleId="CommentReference">
    <w:name w:val="annotation reference"/>
    <w:basedOn w:val="DefaultParagraphFont"/>
    <w:uiPriority w:val="99"/>
    <w:semiHidden/>
    <w:unhideWhenUsed/>
    <w:rsid w:val="00824606"/>
    <w:rPr>
      <w:sz w:val="16"/>
      <w:szCs w:val="16"/>
    </w:rPr>
  </w:style>
  <w:style w:type="paragraph" w:styleId="CommentText">
    <w:name w:val="annotation text"/>
    <w:basedOn w:val="Normal"/>
    <w:link w:val="CommentTextChar"/>
    <w:uiPriority w:val="99"/>
    <w:unhideWhenUsed/>
    <w:rsid w:val="00824606"/>
    <w:pPr>
      <w:spacing w:line="240" w:lineRule="auto"/>
    </w:pPr>
    <w:rPr>
      <w:sz w:val="20"/>
      <w:szCs w:val="20"/>
    </w:rPr>
  </w:style>
  <w:style w:type="character" w:customStyle="1" w:styleId="CommentTextChar">
    <w:name w:val="Comment Text Char"/>
    <w:basedOn w:val="DefaultParagraphFont"/>
    <w:link w:val="CommentText"/>
    <w:uiPriority w:val="99"/>
    <w:rsid w:val="00824606"/>
    <w:rPr>
      <w:sz w:val="20"/>
      <w:szCs w:val="20"/>
    </w:rPr>
  </w:style>
  <w:style w:type="paragraph" w:styleId="CommentSubject">
    <w:name w:val="annotation subject"/>
    <w:basedOn w:val="CommentText"/>
    <w:next w:val="CommentText"/>
    <w:link w:val="CommentSubjectChar"/>
    <w:uiPriority w:val="99"/>
    <w:semiHidden/>
    <w:unhideWhenUsed/>
    <w:rsid w:val="00824606"/>
    <w:rPr>
      <w:b/>
      <w:bCs/>
    </w:rPr>
  </w:style>
  <w:style w:type="character" w:customStyle="1" w:styleId="CommentSubjectChar">
    <w:name w:val="Comment Subject Char"/>
    <w:basedOn w:val="CommentTextChar"/>
    <w:link w:val="CommentSubject"/>
    <w:uiPriority w:val="99"/>
    <w:semiHidden/>
    <w:rsid w:val="00824606"/>
    <w:rPr>
      <w:b/>
      <w:bCs/>
      <w:sz w:val="20"/>
      <w:szCs w:val="20"/>
    </w:rPr>
  </w:style>
  <w:style w:type="paragraph" w:styleId="BalloonText">
    <w:name w:val="Balloon Text"/>
    <w:basedOn w:val="Normal"/>
    <w:link w:val="BalloonTextChar"/>
    <w:uiPriority w:val="99"/>
    <w:semiHidden/>
    <w:unhideWhenUsed/>
    <w:rsid w:val="00824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06"/>
    <w:rPr>
      <w:rFonts w:ascii="Segoe UI" w:hAnsi="Segoe UI" w:cs="Segoe UI"/>
      <w:sz w:val="18"/>
      <w:szCs w:val="18"/>
    </w:rPr>
  </w:style>
  <w:style w:type="paragraph" w:customStyle="1" w:styleId="tv213">
    <w:name w:val="tv213"/>
    <w:basedOn w:val="Normal"/>
    <w:rsid w:val="003010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101D"/>
    <w:rPr>
      <w:color w:val="0000FF"/>
      <w:u w:val="single"/>
    </w:rPr>
  </w:style>
  <w:style w:type="paragraph" w:styleId="NormalWeb">
    <w:name w:val="Normal (Web)"/>
    <w:basedOn w:val="Normal"/>
    <w:uiPriority w:val="99"/>
    <w:semiHidden/>
    <w:unhideWhenUsed/>
    <w:rsid w:val="003010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D500A3"/>
    <w:rPr>
      <w:color w:val="808080"/>
    </w:rPr>
  </w:style>
  <w:style w:type="table" w:styleId="TableGrid">
    <w:name w:val="Table Grid"/>
    <w:basedOn w:val="TableNormal"/>
    <w:uiPriority w:val="39"/>
    <w:rsid w:val="00A4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27111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Arial Unicode MS"/>
      <w:color w:val="000000"/>
      <w:sz w:val="20"/>
      <w:szCs w:val="20"/>
      <w:u w:color="000000"/>
      <w:lang w:val="en-US"/>
    </w:rPr>
  </w:style>
  <w:style w:type="paragraph" w:styleId="Revision">
    <w:name w:val="Revision"/>
    <w:hidden/>
    <w:uiPriority w:val="99"/>
    <w:semiHidden/>
    <w:rsid w:val="003C632E"/>
    <w:pPr>
      <w:spacing w:after="0" w:line="240" w:lineRule="auto"/>
    </w:pPr>
  </w:style>
  <w:style w:type="paragraph" w:styleId="Header">
    <w:name w:val="header"/>
    <w:basedOn w:val="Normal"/>
    <w:link w:val="HeaderChar"/>
    <w:uiPriority w:val="99"/>
    <w:unhideWhenUsed/>
    <w:rsid w:val="0075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FAE"/>
  </w:style>
  <w:style w:type="paragraph" w:styleId="Footer">
    <w:name w:val="footer"/>
    <w:basedOn w:val="Normal"/>
    <w:link w:val="FooterChar"/>
    <w:uiPriority w:val="99"/>
    <w:unhideWhenUsed/>
    <w:rsid w:val="0075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9570">
      <w:bodyDiv w:val="1"/>
      <w:marLeft w:val="0"/>
      <w:marRight w:val="0"/>
      <w:marTop w:val="0"/>
      <w:marBottom w:val="0"/>
      <w:divBdr>
        <w:top w:val="none" w:sz="0" w:space="0" w:color="auto"/>
        <w:left w:val="none" w:sz="0" w:space="0" w:color="auto"/>
        <w:bottom w:val="none" w:sz="0" w:space="0" w:color="auto"/>
        <w:right w:val="none" w:sz="0" w:space="0" w:color="auto"/>
      </w:divBdr>
    </w:div>
    <w:div w:id="151486417">
      <w:bodyDiv w:val="1"/>
      <w:marLeft w:val="0"/>
      <w:marRight w:val="0"/>
      <w:marTop w:val="0"/>
      <w:marBottom w:val="0"/>
      <w:divBdr>
        <w:top w:val="none" w:sz="0" w:space="0" w:color="auto"/>
        <w:left w:val="none" w:sz="0" w:space="0" w:color="auto"/>
        <w:bottom w:val="none" w:sz="0" w:space="0" w:color="auto"/>
        <w:right w:val="none" w:sz="0" w:space="0" w:color="auto"/>
      </w:divBdr>
    </w:div>
    <w:div w:id="276720528">
      <w:bodyDiv w:val="1"/>
      <w:marLeft w:val="0"/>
      <w:marRight w:val="0"/>
      <w:marTop w:val="0"/>
      <w:marBottom w:val="0"/>
      <w:divBdr>
        <w:top w:val="none" w:sz="0" w:space="0" w:color="auto"/>
        <w:left w:val="none" w:sz="0" w:space="0" w:color="auto"/>
        <w:bottom w:val="none" w:sz="0" w:space="0" w:color="auto"/>
        <w:right w:val="none" w:sz="0" w:space="0" w:color="auto"/>
      </w:divBdr>
    </w:div>
    <w:div w:id="292954049">
      <w:bodyDiv w:val="1"/>
      <w:marLeft w:val="0"/>
      <w:marRight w:val="0"/>
      <w:marTop w:val="0"/>
      <w:marBottom w:val="0"/>
      <w:divBdr>
        <w:top w:val="none" w:sz="0" w:space="0" w:color="auto"/>
        <w:left w:val="none" w:sz="0" w:space="0" w:color="auto"/>
        <w:bottom w:val="none" w:sz="0" w:space="0" w:color="auto"/>
        <w:right w:val="none" w:sz="0" w:space="0" w:color="auto"/>
      </w:divBdr>
    </w:div>
    <w:div w:id="323945090">
      <w:bodyDiv w:val="1"/>
      <w:marLeft w:val="0"/>
      <w:marRight w:val="0"/>
      <w:marTop w:val="0"/>
      <w:marBottom w:val="0"/>
      <w:divBdr>
        <w:top w:val="none" w:sz="0" w:space="0" w:color="auto"/>
        <w:left w:val="none" w:sz="0" w:space="0" w:color="auto"/>
        <w:bottom w:val="none" w:sz="0" w:space="0" w:color="auto"/>
        <w:right w:val="none" w:sz="0" w:space="0" w:color="auto"/>
      </w:divBdr>
    </w:div>
    <w:div w:id="325209779">
      <w:bodyDiv w:val="1"/>
      <w:marLeft w:val="0"/>
      <w:marRight w:val="0"/>
      <w:marTop w:val="0"/>
      <w:marBottom w:val="0"/>
      <w:divBdr>
        <w:top w:val="none" w:sz="0" w:space="0" w:color="auto"/>
        <w:left w:val="none" w:sz="0" w:space="0" w:color="auto"/>
        <w:bottom w:val="none" w:sz="0" w:space="0" w:color="auto"/>
        <w:right w:val="none" w:sz="0" w:space="0" w:color="auto"/>
      </w:divBdr>
    </w:div>
    <w:div w:id="402488957">
      <w:bodyDiv w:val="1"/>
      <w:marLeft w:val="0"/>
      <w:marRight w:val="0"/>
      <w:marTop w:val="0"/>
      <w:marBottom w:val="0"/>
      <w:divBdr>
        <w:top w:val="none" w:sz="0" w:space="0" w:color="auto"/>
        <w:left w:val="none" w:sz="0" w:space="0" w:color="auto"/>
        <w:bottom w:val="none" w:sz="0" w:space="0" w:color="auto"/>
        <w:right w:val="none" w:sz="0" w:space="0" w:color="auto"/>
      </w:divBdr>
    </w:div>
    <w:div w:id="476650302">
      <w:bodyDiv w:val="1"/>
      <w:marLeft w:val="0"/>
      <w:marRight w:val="0"/>
      <w:marTop w:val="0"/>
      <w:marBottom w:val="0"/>
      <w:divBdr>
        <w:top w:val="none" w:sz="0" w:space="0" w:color="auto"/>
        <w:left w:val="none" w:sz="0" w:space="0" w:color="auto"/>
        <w:bottom w:val="none" w:sz="0" w:space="0" w:color="auto"/>
        <w:right w:val="none" w:sz="0" w:space="0" w:color="auto"/>
      </w:divBdr>
    </w:div>
    <w:div w:id="598373112">
      <w:bodyDiv w:val="1"/>
      <w:marLeft w:val="0"/>
      <w:marRight w:val="0"/>
      <w:marTop w:val="0"/>
      <w:marBottom w:val="0"/>
      <w:divBdr>
        <w:top w:val="none" w:sz="0" w:space="0" w:color="auto"/>
        <w:left w:val="none" w:sz="0" w:space="0" w:color="auto"/>
        <w:bottom w:val="none" w:sz="0" w:space="0" w:color="auto"/>
        <w:right w:val="none" w:sz="0" w:space="0" w:color="auto"/>
      </w:divBdr>
    </w:div>
    <w:div w:id="678584631">
      <w:bodyDiv w:val="1"/>
      <w:marLeft w:val="0"/>
      <w:marRight w:val="0"/>
      <w:marTop w:val="0"/>
      <w:marBottom w:val="0"/>
      <w:divBdr>
        <w:top w:val="none" w:sz="0" w:space="0" w:color="auto"/>
        <w:left w:val="none" w:sz="0" w:space="0" w:color="auto"/>
        <w:bottom w:val="none" w:sz="0" w:space="0" w:color="auto"/>
        <w:right w:val="none" w:sz="0" w:space="0" w:color="auto"/>
      </w:divBdr>
    </w:div>
    <w:div w:id="697007691">
      <w:bodyDiv w:val="1"/>
      <w:marLeft w:val="0"/>
      <w:marRight w:val="0"/>
      <w:marTop w:val="0"/>
      <w:marBottom w:val="0"/>
      <w:divBdr>
        <w:top w:val="none" w:sz="0" w:space="0" w:color="auto"/>
        <w:left w:val="none" w:sz="0" w:space="0" w:color="auto"/>
        <w:bottom w:val="none" w:sz="0" w:space="0" w:color="auto"/>
        <w:right w:val="none" w:sz="0" w:space="0" w:color="auto"/>
      </w:divBdr>
    </w:div>
    <w:div w:id="738552570">
      <w:bodyDiv w:val="1"/>
      <w:marLeft w:val="0"/>
      <w:marRight w:val="0"/>
      <w:marTop w:val="0"/>
      <w:marBottom w:val="0"/>
      <w:divBdr>
        <w:top w:val="none" w:sz="0" w:space="0" w:color="auto"/>
        <w:left w:val="none" w:sz="0" w:space="0" w:color="auto"/>
        <w:bottom w:val="none" w:sz="0" w:space="0" w:color="auto"/>
        <w:right w:val="none" w:sz="0" w:space="0" w:color="auto"/>
      </w:divBdr>
    </w:div>
    <w:div w:id="885528776">
      <w:bodyDiv w:val="1"/>
      <w:marLeft w:val="0"/>
      <w:marRight w:val="0"/>
      <w:marTop w:val="0"/>
      <w:marBottom w:val="0"/>
      <w:divBdr>
        <w:top w:val="none" w:sz="0" w:space="0" w:color="auto"/>
        <w:left w:val="none" w:sz="0" w:space="0" w:color="auto"/>
        <w:bottom w:val="none" w:sz="0" w:space="0" w:color="auto"/>
        <w:right w:val="none" w:sz="0" w:space="0" w:color="auto"/>
      </w:divBdr>
    </w:div>
    <w:div w:id="940338309">
      <w:bodyDiv w:val="1"/>
      <w:marLeft w:val="0"/>
      <w:marRight w:val="0"/>
      <w:marTop w:val="0"/>
      <w:marBottom w:val="0"/>
      <w:divBdr>
        <w:top w:val="none" w:sz="0" w:space="0" w:color="auto"/>
        <w:left w:val="none" w:sz="0" w:space="0" w:color="auto"/>
        <w:bottom w:val="none" w:sz="0" w:space="0" w:color="auto"/>
        <w:right w:val="none" w:sz="0" w:space="0" w:color="auto"/>
      </w:divBdr>
    </w:div>
    <w:div w:id="1123884204">
      <w:bodyDiv w:val="1"/>
      <w:marLeft w:val="0"/>
      <w:marRight w:val="0"/>
      <w:marTop w:val="0"/>
      <w:marBottom w:val="0"/>
      <w:divBdr>
        <w:top w:val="none" w:sz="0" w:space="0" w:color="auto"/>
        <w:left w:val="none" w:sz="0" w:space="0" w:color="auto"/>
        <w:bottom w:val="none" w:sz="0" w:space="0" w:color="auto"/>
        <w:right w:val="none" w:sz="0" w:space="0" w:color="auto"/>
      </w:divBdr>
    </w:div>
    <w:div w:id="1238250945">
      <w:bodyDiv w:val="1"/>
      <w:marLeft w:val="0"/>
      <w:marRight w:val="0"/>
      <w:marTop w:val="0"/>
      <w:marBottom w:val="0"/>
      <w:divBdr>
        <w:top w:val="none" w:sz="0" w:space="0" w:color="auto"/>
        <w:left w:val="none" w:sz="0" w:space="0" w:color="auto"/>
        <w:bottom w:val="none" w:sz="0" w:space="0" w:color="auto"/>
        <w:right w:val="none" w:sz="0" w:space="0" w:color="auto"/>
      </w:divBdr>
    </w:div>
    <w:div w:id="1318262813">
      <w:bodyDiv w:val="1"/>
      <w:marLeft w:val="0"/>
      <w:marRight w:val="0"/>
      <w:marTop w:val="0"/>
      <w:marBottom w:val="0"/>
      <w:divBdr>
        <w:top w:val="none" w:sz="0" w:space="0" w:color="auto"/>
        <w:left w:val="none" w:sz="0" w:space="0" w:color="auto"/>
        <w:bottom w:val="none" w:sz="0" w:space="0" w:color="auto"/>
        <w:right w:val="none" w:sz="0" w:space="0" w:color="auto"/>
      </w:divBdr>
    </w:div>
    <w:div w:id="1352756030">
      <w:bodyDiv w:val="1"/>
      <w:marLeft w:val="0"/>
      <w:marRight w:val="0"/>
      <w:marTop w:val="0"/>
      <w:marBottom w:val="0"/>
      <w:divBdr>
        <w:top w:val="none" w:sz="0" w:space="0" w:color="auto"/>
        <w:left w:val="none" w:sz="0" w:space="0" w:color="auto"/>
        <w:bottom w:val="none" w:sz="0" w:space="0" w:color="auto"/>
        <w:right w:val="none" w:sz="0" w:space="0" w:color="auto"/>
      </w:divBdr>
    </w:div>
    <w:div w:id="1365861410">
      <w:bodyDiv w:val="1"/>
      <w:marLeft w:val="0"/>
      <w:marRight w:val="0"/>
      <w:marTop w:val="0"/>
      <w:marBottom w:val="0"/>
      <w:divBdr>
        <w:top w:val="none" w:sz="0" w:space="0" w:color="auto"/>
        <w:left w:val="none" w:sz="0" w:space="0" w:color="auto"/>
        <w:bottom w:val="none" w:sz="0" w:space="0" w:color="auto"/>
        <w:right w:val="none" w:sz="0" w:space="0" w:color="auto"/>
      </w:divBdr>
    </w:div>
    <w:div w:id="1423259077">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429740386">
      <w:bodyDiv w:val="1"/>
      <w:marLeft w:val="0"/>
      <w:marRight w:val="0"/>
      <w:marTop w:val="0"/>
      <w:marBottom w:val="0"/>
      <w:divBdr>
        <w:top w:val="none" w:sz="0" w:space="0" w:color="auto"/>
        <w:left w:val="none" w:sz="0" w:space="0" w:color="auto"/>
        <w:bottom w:val="none" w:sz="0" w:space="0" w:color="auto"/>
        <w:right w:val="none" w:sz="0" w:space="0" w:color="auto"/>
      </w:divBdr>
    </w:div>
    <w:div w:id="1461457478">
      <w:bodyDiv w:val="1"/>
      <w:marLeft w:val="0"/>
      <w:marRight w:val="0"/>
      <w:marTop w:val="0"/>
      <w:marBottom w:val="0"/>
      <w:divBdr>
        <w:top w:val="none" w:sz="0" w:space="0" w:color="auto"/>
        <w:left w:val="none" w:sz="0" w:space="0" w:color="auto"/>
        <w:bottom w:val="none" w:sz="0" w:space="0" w:color="auto"/>
        <w:right w:val="none" w:sz="0" w:space="0" w:color="auto"/>
      </w:divBdr>
      <w:divsChild>
        <w:div w:id="1371105329">
          <w:marLeft w:val="0"/>
          <w:marRight w:val="0"/>
          <w:marTop w:val="0"/>
          <w:marBottom w:val="0"/>
          <w:divBdr>
            <w:top w:val="none" w:sz="0" w:space="0" w:color="auto"/>
            <w:left w:val="none" w:sz="0" w:space="0" w:color="auto"/>
            <w:bottom w:val="none" w:sz="0" w:space="0" w:color="auto"/>
            <w:right w:val="none" w:sz="0" w:space="0" w:color="auto"/>
          </w:divBdr>
          <w:divsChild>
            <w:div w:id="19733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373">
      <w:bodyDiv w:val="1"/>
      <w:marLeft w:val="0"/>
      <w:marRight w:val="0"/>
      <w:marTop w:val="0"/>
      <w:marBottom w:val="0"/>
      <w:divBdr>
        <w:top w:val="none" w:sz="0" w:space="0" w:color="auto"/>
        <w:left w:val="none" w:sz="0" w:space="0" w:color="auto"/>
        <w:bottom w:val="none" w:sz="0" w:space="0" w:color="auto"/>
        <w:right w:val="none" w:sz="0" w:space="0" w:color="auto"/>
      </w:divBdr>
    </w:div>
    <w:div w:id="1476292147">
      <w:bodyDiv w:val="1"/>
      <w:marLeft w:val="0"/>
      <w:marRight w:val="0"/>
      <w:marTop w:val="0"/>
      <w:marBottom w:val="0"/>
      <w:divBdr>
        <w:top w:val="none" w:sz="0" w:space="0" w:color="auto"/>
        <w:left w:val="none" w:sz="0" w:space="0" w:color="auto"/>
        <w:bottom w:val="none" w:sz="0" w:space="0" w:color="auto"/>
        <w:right w:val="none" w:sz="0" w:space="0" w:color="auto"/>
      </w:divBdr>
    </w:div>
    <w:div w:id="1513641822">
      <w:bodyDiv w:val="1"/>
      <w:marLeft w:val="0"/>
      <w:marRight w:val="0"/>
      <w:marTop w:val="0"/>
      <w:marBottom w:val="0"/>
      <w:divBdr>
        <w:top w:val="none" w:sz="0" w:space="0" w:color="auto"/>
        <w:left w:val="none" w:sz="0" w:space="0" w:color="auto"/>
        <w:bottom w:val="none" w:sz="0" w:space="0" w:color="auto"/>
        <w:right w:val="none" w:sz="0" w:space="0" w:color="auto"/>
      </w:divBdr>
    </w:div>
    <w:div w:id="1538346169">
      <w:bodyDiv w:val="1"/>
      <w:marLeft w:val="0"/>
      <w:marRight w:val="0"/>
      <w:marTop w:val="0"/>
      <w:marBottom w:val="0"/>
      <w:divBdr>
        <w:top w:val="none" w:sz="0" w:space="0" w:color="auto"/>
        <w:left w:val="none" w:sz="0" w:space="0" w:color="auto"/>
        <w:bottom w:val="none" w:sz="0" w:space="0" w:color="auto"/>
        <w:right w:val="none" w:sz="0" w:space="0" w:color="auto"/>
      </w:divBdr>
    </w:div>
    <w:div w:id="1709334574">
      <w:bodyDiv w:val="1"/>
      <w:marLeft w:val="0"/>
      <w:marRight w:val="0"/>
      <w:marTop w:val="0"/>
      <w:marBottom w:val="0"/>
      <w:divBdr>
        <w:top w:val="none" w:sz="0" w:space="0" w:color="auto"/>
        <w:left w:val="none" w:sz="0" w:space="0" w:color="auto"/>
        <w:bottom w:val="none" w:sz="0" w:space="0" w:color="auto"/>
        <w:right w:val="none" w:sz="0" w:space="0" w:color="auto"/>
      </w:divBdr>
    </w:div>
    <w:div w:id="1710757531">
      <w:bodyDiv w:val="1"/>
      <w:marLeft w:val="0"/>
      <w:marRight w:val="0"/>
      <w:marTop w:val="0"/>
      <w:marBottom w:val="0"/>
      <w:divBdr>
        <w:top w:val="none" w:sz="0" w:space="0" w:color="auto"/>
        <w:left w:val="none" w:sz="0" w:space="0" w:color="auto"/>
        <w:bottom w:val="none" w:sz="0" w:space="0" w:color="auto"/>
        <w:right w:val="none" w:sz="0" w:space="0" w:color="auto"/>
      </w:divBdr>
    </w:div>
    <w:div w:id="1723553987">
      <w:bodyDiv w:val="1"/>
      <w:marLeft w:val="0"/>
      <w:marRight w:val="0"/>
      <w:marTop w:val="0"/>
      <w:marBottom w:val="0"/>
      <w:divBdr>
        <w:top w:val="none" w:sz="0" w:space="0" w:color="auto"/>
        <w:left w:val="none" w:sz="0" w:space="0" w:color="auto"/>
        <w:bottom w:val="none" w:sz="0" w:space="0" w:color="auto"/>
        <w:right w:val="none" w:sz="0" w:space="0" w:color="auto"/>
      </w:divBdr>
    </w:div>
    <w:div w:id="1829441281">
      <w:bodyDiv w:val="1"/>
      <w:marLeft w:val="0"/>
      <w:marRight w:val="0"/>
      <w:marTop w:val="0"/>
      <w:marBottom w:val="0"/>
      <w:divBdr>
        <w:top w:val="none" w:sz="0" w:space="0" w:color="auto"/>
        <w:left w:val="none" w:sz="0" w:space="0" w:color="auto"/>
        <w:bottom w:val="none" w:sz="0" w:space="0" w:color="auto"/>
        <w:right w:val="none" w:sz="0" w:space="0" w:color="auto"/>
      </w:divBdr>
    </w:div>
    <w:div w:id="1961185456">
      <w:bodyDiv w:val="1"/>
      <w:marLeft w:val="0"/>
      <w:marRight w:val="0"/>
      <w:marTop w:val="0"/>
      <w:marBottom w:val="0"/>
      <w:divBdr>
        <w:top w:val="none" w:sz="0" w:space="0" w:color="auto"/>
        <w:left w:val="none" w:sz="0" w:space="0" w:color="auto"/>
        <w:bottom w:val="none" w:sz="0" w:space="0" w:color="auto"/>
        <w:right w:val="none" w:sz="0" w:space="0" w:color="auto"/>
      </w:divBdr>
    </w:div>
    <w:div w:id="2016687518">
      <w:bodyDiv w:val="1"/>
      <w:marLeft w:val="0"/>
      <w:marRight w:val="0"/>
      <w:marTop w:val="0"/>
      <w:marBottom w:val="0"/>
      <w:divBdr>
        <w:top w:val="none" w:sz="0" w:space="0" w:color="auto"/>
        <w:left w:val="none" w:sz="0" w:space="0" w:color="auto"/>
        <w:bottom w:val="none" w:sz="0" w:space="0" w:color="auto"/>
        <w:right w:val="none" w:sz="0" w:space="0" w:color="auto"/>
      </w:divBdr>
    </w:div>
    <w:div w:id="2050950188">
      <w:bodyDiv w:val="1"/>
      <w:marLeft w:val="0"/>
      <w:marRight w:val="0"/>
      <w:marTop w:val="0"/>
      <w:marBottom w:val="0"/>
      <w:divBdr>
        <w:top w:val="none" w:sz="0" w:space="0" w:color="auto"/>
        <w:left w:val="none" w:sz="0" w:space="0" w:color="auto"/>
        <w:bottom w:val="none" w:sz="0" w:space="0" w:color="auto"/>
        <w:right w:val="none" w:sz="0" w:space="0" w:color="auto"/>
      </w:divBdr>
    </w:div>
    <w:div w:id="2106068992">
      <w:bodyDiv w:val="1"/>
      <w:marLeft w:val="0"/>
      <w:marRight w:val="0"/>
      <w:marTop w:val="0"/>
      <w:marBottom w:val="0"/>
      <w:divBdr>
        <w:top w:val="none" w:sz="0" w:space="0" w:color="auto"/>
        <w:left w:val="none" w:sz="0" w:space="0" w:color="auto"/>
        <w:bottom w:val="none" w:sz="0" w:space="0" w:color="auto"/>
        <w:right w:val="none" w:sz="0" w:space="0" w:color="auto"/>
      </w:divBdr>
    </w:div>
    <w:div w:id="21077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24247-grozijumi-augstskolu-likuma"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likumi.lv/ta/id/262508"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likumi.lv/ta/id/262508"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m.likumi.lv/ta/id/37967-augstskolu-likums/redakcijas-datums/2021/08/16"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m.likumi.lv/ta/id/37967-augstskolu-likums/redakcijas-datums/2021/08/16" TargetMode="External"/><Relationship Id="rId14" Type="http://schemas.openxmlformats.org/officeDocument/2006/relationships/chart" Target="charts/chart5.xml"/><Relationship Id="rId22" Type="http://schemas.openxmlformats.org/officeDocument/2006/relationships/hyperlink" Target="https://m.likumi.lv/ta/id/324247-grozijumi-augstskolu-likuma" TargetMode="External"/><Relationship Id="rId27" Type="http://schemas.openxmlformats.org/officeDocument/2006/relationships/hyperlink" Target="mailto:janis.paiders@izm.gov.lv"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nis.paiders\Documents\DOKUMENTI%20RIS3\zin_fin_dat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6.xlsx"/></Relationships>
</file>

<file path=word/charts/_rels/chart12.xml.rels><?xml version="1.0" encoding="UTF-8" standalone="yes"?>
<Relationships xmlns="http://schemas.openxmlformats.org/package/2006/relationships"><Relationship Id="rId3" Type="http://schemas.openxmlformats.org/officeDocument/2006/relationships/oleObject" Target="file:///C:\Users\janis.paiders\Documents\DOKUMENTI%20RIS3\Technopolis_final.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anis.paiders\Documents\DOKUMENTI%20RIS3\Copy%20of%20Dati_grafiki_zinatne.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nis.paiders\Downloads\ZPR030_20210817-1237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anis.paiders\Documents\DOKUMENTI%20RIS3\Zin.%20finans&#275;jum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nis.paiders\Documents\DOKUMENTI%20RIS3\Copy%20of%20B&#257;ze_2021_jaun&#257;s%20sddsd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janis.paiders\Documents\DOKUMENTI%20RIS3\Copy%20of%20B&#257;ze%202016_2021%20dinamika_JP.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ZIG030!$K$33</c:f>
              <c:strCache>
                <c:ptCount val="1"/>
                <c:pt idx="0">
                  <c:v>Latvija</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ZIG030!$L$32:$U$32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ZIG030!$L$33:$U$33</c:f>
              <c:numCache>
                <c:formatCode>0.00</c:formatCode>
                <c:ptCount val="10"/>
                <c:pt idx="0">
                  <c:v>0.6</c:v>
                </c:pt>
                <c:pt idx="1">
                  <c:v>0.7</c:v>
                </c:pt>
                <c:pt idx="2">
                  <c:v>0.66</c:v>
                </c:pt>
                <c:pt idx="3">
                  <c:v>0.6</c:v>
                </c:pt>
                <c:pt idx="4">
                  <c:v>0.69</c:v>
                </c:pt>
                <c:pt idx="5">
                  <c:v>0.62</c:v>
                </c:pt>
                <c:pt idx="6">
                  <c:v>0.44</c:v>
                </c:pt>
                <c:pt idx="7">
                  <c:v>0.51</c:v>
                </c:pt>
                <c:pt idx="8">
                  <c:v>0.63</c:v>
                </c:pt>
                <c:pt idx="9">
                  <c:v>0.64</c:v>
                </c:pt>
              </c:numCache>
            </c:numRef>
          </c:val>
          <c:smooth val="0"/>
        </c:ser>
        <c:ser>
          <c:idx val="1"/>
          <c:order val="1"/>
          <c:tx>
            <c:strRef>
              <c:f>ZIG030!$K$34</c:f>
              <c:strCache>
                <c:ptCount val="1"/>
                <c:pt idx="0">
                  <c:v>Vidēji ES-27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ZIG030!$L$32:$U$32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ZIG030!$L$34:$U$34</c:f>
              <c:numCache>
                <c:formatCode>General</c:formatCode>
                <c:ptCount val="10"/>
                <c:pt idx="0">
                  <c:v>1.97</c:v>
                </c:pt>
                <c:pt idx="1">
                  <c:v>2.02</c:v>
                </c:pt>
                <c:pt idx="2">
                  <c:v>2.08</c:v>
                </c:pt>
                <c:pt idx="3">
                  <c:v>2.1</c:v>
                </c:pt>
                <c:pt idx="4">
                  <c:v>2.11</c:v>
                </c:pt>
                <c:pt idx="5">
                  <c:v>2.13</c:v>
                </c:pt>
                <c:pt idx="6">
                  <c:v>2.12</c:v>
                </c:pt>
                <c:pt idx="7">
                  <c:v>2.15</c:v>
                </c:pt>
                <c:pt idx="8">
                  <c:v>2.1800000000000002</c:v>
                </c:pt>
                <c:pt idx="9">
                  <c:v>2.2000000000000002</c:v>
                </c:pt>
              </c:numCache>
            </c:numRef>
          </c:val>
          <c:smooth val="0"/>
        </c:ser>
        <c:dLbls>
          <c:showLegendKey val="0"/>
          <c:showVal val="0"/>
          <c:showCatName val="0"/>
          <c:showSerName val="0"/>
          <c:showPercent val="0"/>
          <c:showBubbleSize val="0"/>
        </c:dLbls>
        <c:marker val="1"/>
        <c:smooth val="0"/>
        <c:axId val="410230840"/>
        <c:axId val="410234368"/>
      </c:lineChart>
      <c:catAx>
        <c:axId val="4102308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4368"/>
        <c:crosses val="autoZero"/>
        <c:auto val="1"/>
        <c:lblAlgn val="ctr"/>
        <c:lblOffset val="100"/>
        <c:noMultiLvlLbl val="0"/>
      </c:catAx>
      <c:valAx>
        <c:axId val="41023436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084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Esošais finansējuma apjoms</c:v>
          </c:tx>
          <c:spPr>
            <a:solidFill>
              <a:schemeClr val="accent5">
                <a:lumMod val="75000"/>
              </a:schemeClr>
            </a:solidFill>
            <a:ln>
              <a:solidFill>
                <a:schemeClr val="bg1">
                  <a:lumMod val="8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Sheet1!$K$37:$Q$37</c:f>
              <c:numCache>
                <c:formatCode>General</c:formatCode>
                <c:ptCount val="7"/>
                <c:pt idx="0">
                  <c:v>2021</c:v>
                </c:pt>
                <c:pt idx="1">
                  <c:v>2022</c:v>
                </c:pt>
                <c:pt idx="2">
                  <c:v>2023</c:v>
                </c:pt>
                <c:pt idx="3">
                  <c:v>2024</c:v>
                </c:pt>
                <c:pt idx="4">
                  <c:v>2025</c:v>
                </c:pt>
                <c:pt idx="5">
                  <c:v>2026</c:v>
                </c:pt>
                <c:pt idx="6">
                  <c:v>2027</c:v>
                </c:pt>
              </c:numCache>
            </c:numRef>
          </c:cat>
          <c:val>
            <c:numRef>
              <c:f>Sheet1!$K$42:$Q$42</c:f>
              <c:numCache>
                <c:formatCode>0.0</c:formatCode>
                <c:ptCount val="7"/>
                <c:pt idx="0">
                  <c:v>23.54</c:v>
                </c:pt>
                <c:pt idx="1">
                  <c:v>23.54</c:v>
                </c:pt>
                <c:pt idx="2">
                  <c:v>17.655000000000001</c:v>
                </c:pt>
                <c:pt idx="3">
                  <c:v>11.77</c:v>
                </c:pt>
                <c:pt idx="4">
                  <c:v>5.884999999999998</c:v>
                </c:pt>
                <c:pt idx="5">
                  <c:v>0</c:v>
                </c:pt>
                <c:pt idx="6">
                  <c:v>0</c:v>
                </c:pt>
              </c:numCache>
            </c:numRef>
          </c:val>
        </c:ser>
        <c:ser>
          <c:idx val="1"/>
          <c:order val="1"/>
          <c:tx>
            <c:v>Sadalītais finansējums pēc jaunajiem principiem</c:v>
          </c:tx>
          <c:spPr>
            <a:solidFill>
              <a:schemeClr val="accent5">
                <a:lumMod val="20000"/>
                <a:lumOff val="80000"/>
              </a:schemeClr>
            </a:solidFill>
            <a:ln>
              <a:solidFill>
                <a:schemeClr val="bg1">
                  <a:lumMod val="85000"/>
                </a:schemeClr>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Sheet1!$K$37:$Q$37</c:f>
              <c:numCache>
                <c:formatCode>General</c:formatCode>
                <c:ptCount val="7"/>
                <c:pt idx="0">
                  <c:v>2021</c:v>
                </c:pt>
                <c:pt idx="1">
                  <c:v>2022</c:v>
                </c:pt>
                <c:pt idx="2">
                  <c:v>2023</c:v>
                </c:pt>
                <c:pt idx="3">
                  <c:v>2024</c:v>
                </c:pt>
                <c:pt idx="4">
                  <c:v>2025</c:v>
                </c:pt>
                <c:pt idx="5">
                  <c:v>2026</c:v>
                </c:pt>
                <c:pt idx="6">
                  <c:v>2027</c:v>
                </c:pt>
              </c:numCache>
            </c:numRef>
          </c:cat>
          <c:val>
            <c:numRef>
              <c:f>Sheet1!$K$43:$Q$43</c:f>
              <c:numCache>
                <c:formatCode>0.0</c:formatCode>
                <c:ptCount val="7"/>
                <c:pt idx="0">
                  <c:v>0</c:v>
                </c:pt>
                <c:pt idx="1">
                  <c:v>2</c:v>
                </c:pt>
                <c:pt idx="2">
                  <c:v>9.8849999999999998</c:v>
                </c:pt>
                <c:pt idx="3">
                  <c:v>18.77</c:v>
                </c:pt>
                <c:pt idx="4">
                  <c:v>25.655000000000001</c:v>
                </c:pt>
                <c:pt idx="5">
                  <c:v>32.54</c:v>
                </c:pt>
                <c:pt idx="6">
                  <c:v>33.54</c:v>
                </c:pt>
              </c:numCache>
            </c:numRef>
          </c:val>
        </c:ser>
        <c:dLbls>
          <c:showLegendKey val="0"/>
          <c:showVal val="0"/>
          <c:showCatName val="0"/>
          <c:showSerName val="0"/>
          <c:showPercent val="0"/>
          <c:showBubbleSize val="0"/>
        </c:dLbls>
        <c:gapWidth val="0"/>
        <c:overlap val="100"/>
        <c:axId val="412627736"/>
        <c:axId val="412628128"/>
      </c:barChart>
      <c:catAx>
        <c:axId val="4126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28128"/>
        <c:crosses val="autoZero"/>
        <c:auto val="1"/>
        <c:lblAlgn val="ctr"/>
        <c:lblOffset val="100"/>
        <c:noMultiLvlLbl val="0"/>
      </c:catAx>
      <c:valAx>
        <c:axId val="41262812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277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Esošais finansējuma apjoms</c:v>
          </c:tx>
          <c:spPr>
            <a:solidFill>
              <a:schemeClr val="accent5">
                <a:lumMod val="75000"/>
              </a:schemeClr>
            </a:solidFill>
            <a:ln>
              <a:solidFill>
                <a:schemeClr val="bg1">
                  <a:lumMod val="85000"/>
                </a:schemeClr>
              </a:solidFill>
            </a:ln>
            <a:effectLst/>
          </c:spPr>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Sheet1!$T$37:$Z$37</c:f>
              <c:numCache>
                <c:formatCode>General</c:formatCode>
                <c:ptCount val="7"/>
                <c:pt idx="0">
                  <c:v>2021</c:v>
                </c:pt>
                <c:pt idx="1">
                  <c:v>2022</c:v>
                </c:pt>
                <c:pt idx="2">
                  <c:v>2023</c:v>
                </c:pt>
                <c:pt idx="3">
                  <c:v>2024</c:v>
                </c:pt>
                <c:pt idx="4">
                  <c:v>2025</c:v>
                </c:pt>
                <c:pt idx="5">
                  <c:v>2026</c:v>
                </c:pt>
                <c:pt idx="6">
                  <c:v>2027</c:v>
                </c:pt>
              </c:numCache>
            </c:numRef>
          </c:cat>
          <c:val>
            <c:numRef>
              <c:f>Sheet1!$T$42:$Z$42</c:f>
              <c:numCache>
                <c:formatCode>0.0</c:formatCode>
                <c:ptCount val="7"/>
                <c:pt idx="0">
                  <c:v>23.54</c:v>
                </c:pt>
                <c:pt idx="1">
                  <c:v>23.54</c:v>
                </c:pt>
                <c:pt idx="2">
                  <c:v>11.77</c:v>
                </c:pt>
                <c:pt idx="3">
                  <c:v>0</c:v>
                </c:pt>
                <c:pt idx="4">
                  <c:v>0</c:v>
                </c:pt>
                <c:pt idx="5">
                  <c:v>0</c:v>
                </c:pt>
                <c:pt idx="6">
                  <c:v>0</c:v>
                </c:pt>
              </c:numCache>
            </c:numRef>
          </c:val>
        </c:ser>
        <c:ser>
          <c:idx val="1"/>
          <c:order val="1"/>
          <c:tx>
            <c:v>Sadalītais finansējums pēc jaunajiem principiem</c:v>
          </c:tx>
          <c:spPr>
            <a:solidFill>
              <a:schemeClr val="accent5">
                <a:lumMod val="20000"/>
                <a:lumOff val="80000"/>
              </a:schemeClr>
            </a:solidFill>
            <a:ln>
              <a:solidFill>
                <a:schemeClr val="bg1">
                  <a:lumMod val="85000"/>
                </a:schemeClr>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Sheet1!$T$37:$Z$37</c:f>
              <c:numCache>
                <c:formatCode>General</c:formatCode>
                <c:ptCount val="7"/>
                <c:pt idx="0">
                  <c:v>2021</c:v>
                </c:pt>
                <c:pt idx="1">
                  <c:v>2022</c:v>
                </c:pt>
                <c:pt idx="2">
                  <c:v>2023</c:v>
                </c:pt>
                <c:pt idx="3">
                  <c:v>2024</c:v>
                </c:pt>
                <c:pt idx="4">
                  <c:v>2025</c:v>
                </c:pt>
                <c:pt idx="5">
                  <c:v>2026</c:v>
                </c:pt>
                <c:pt idx="6">
                  <c:v>2027</c:v>
                </c:pt>
              </c:numCache>
            </c:numRef>
          </c:cat>
          <c:val>
            <c:numRef>
              <c:f>Sheet1!$T$43:$Z$43</c:f>
              <c:numCache>
                <c:formatCode>0.0</c:formatCode>
                <c:ptCount val="7"/>
                <c:pt idx="0">
                  <c:v>0</c:v>
                </c:pt>
                <c:pt idx="1">
                  <c:v>9.5933333333333337</c:v>
                </c:pt>
                <c:pt idx="2">
                  <c:v>30.956666666666667</c:v>
                </c:pt>
                <c:pt idx="3">
                  <c:v>53.319999999999993</c:v>
                </c:pt>
                <c:pt idx="4">
                  <c:v>61.913333333333327</c:v>
                </c:pt>
                <c:pt idx="5">
                  <c:v>70.506666666666661</c:v>
                </c:pt>
                <c:pt idx="6">
                  <c:v>79.099999999999994</c:v>
                </c:pt>
              </c:numCache>
            </c:numRef>
          </c:val>
        </c:ser>
        <c:dLbls>
          <c:showLegendKey val="0"/>
          <c:showVal val="0"/>
          <c:showCatName val="0"/>
          <c:showSerName val="0"/>
          <c:showPercent val="0"/>
          <c:showBubbleSize val="0"/>
        </c:dLbls>
        <c:gapWidth val="0"/>
        <c:overlap val="100"/>
        <c:axId val="412636360"/>
        <c:axId val="412637536"/>
      </c:barChart>
      <c:catAx>
        <c:axId val="41263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37536"/>
        <c:crosses val="autoZero"/>
        <c:auto val="1"/>
        <c:lblAlgn val="ctr"/>
        <c:lblOffset val="100"/>
        <c:noMultiLvlLbl val="0"/>
      </c:catAx>
      <c:valAx>
        <c:axId val="41263753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36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Modelis!$R$3:$R$23</c:f>
              <c:strCache>
                <c:ptCount val="21"/>
                <c:pt idx="0">
                  <c:v>RTU</c:v>
                </c:pt>
                <c:pt idx="1">
                  <c:v>RSU</c:v>
                </c:pt>
                <c:pt idx="2">
                  <c:v>LU</c:v>
                </c:pt>
                <c:pt idx="3">
                  <c:v>BMC</c:v>
                </c:pt>
                <c:pt idx="4">
                  <c:v>DU</c:v>
                </c:pt>
                <c:pt idx="5">
                  <c:v>LV KĶI</c:v>
                </c:pt>
                <c:pt idx="6">
                  <c:v>OSI</c:v>
                </c:pt>
                <c:pt idx="7">
                  <c:v>EDI</c:v>
                </c:pt>
                <c:pt idx="8">
                  <c:v>LKA</c:v>
                </c:pt>
                <c:pt idx="9">
                  <c:v>LNB</c:v>
                </c:pt>
                <c:pt idx="10">
                  <c:v>LU CFI</c:v>
                </c:pt>
                <c:pt idx="11">
                  <c:v>LU LFMI</c:v>
                </c:pt>
                <c:pt idx="12">
                  <c:v>SILAVA</c:v>
                </c:pt>
                <c:pt idx="13">
                  <c:v>BIOR</c:v>
                </c:pt>
                <c:pt idx="14">
                  <c:v>LLU</c:v>
                </c:pt>
                <c:pt idx="15">
                  <c:v>LMA</c:v>
                </c:pt>
                <c:pt idx="16">
                  <c:v>LiepU</c:v>
                </c:pt>
                <c:pt idx="17">
                  <c:v>AREI</c:v>
                </c:pt>
                <c:pt idx="18">
                  <c:v>LU MII</c:v>
                </c:pt>
                <c:pt idx="19">
                  <c:v>RTA</c:v>
                </c:pt>
                <c:pt idx="20">
                  <c:v>VeA</c:v>
                </c:pt>
              </c:strCache>
            </c:strRef>
          </c:cat>
          <c:val>
            <c:numRef>
              <c:f>Modelis!$S$3:$S$23</c:f>
              <c:numCache>
                <c:formatCode>General</c:formatCode>
                <c:ptCount val="21"/>
                <c:pt idx="0">
                  <c:v>11</c:v>
                </c:pt>
                <c:pt idx="1">
                  <c:v>8</c:v>
                </c:pt>
                <c:pt idx="2">
                  <c:v>7</c:v>
                </c:pt>
                <c:pt idx="3">
                  <c:v>6</c:v>
                </c:pt>
                <c:pt idx="4">
                  <c:v>6</c:v>
                </c:pt>
                <c:pt idx="5">
                  <c:v>6</c:v>
                </c:pt>
                <c:pt idx="6">
                  <c:v>6</c:v>
                </c:pt>
                <c:pt idx="7">
                  <c:v>5</c:v>
                </c:pt>
                <c:pt idx="8">
                  <c:v>5</c:v>
                </c:pt>
                <c:pt idx="9">
                  <c:v>5</c:v>
                </c:pt>
                <c:pt idx="10">
                  <c:v>5</c:v>
                </c:pt>
                <c:pt idx="11">
                  <c:v>5</c:v>
                </c:pt>
                <c:pt idx="12">
                  <c:v>5</c:v>
                </c:pt>
                <c:pt idx="13">
                  <c:v>4</c:v>
                </c:pt>
                <c:pt idx="14">
                  <c:v>3</c:v>
                </c:pt>
                <c:pt idx="15">
                  <c:v>3</c:v>
                </c:pt>
                <c:pt idx="16">
                  <c:v>2</c:v>
                </c:pt>
                <c:pt idx="17">
                  <c:v>1</c:v>
                </c:pt>
                <c:pt idx="18">
                  <c:v>1</c:v>
                </c:pt>
                <c:pt idx="19">
                  <c:v>1</c:v>
                </c:pt>
                <c:pt idx="20">
                  <c:v>1</c:v>
                </c:pt>
              </c:numCache>
            </c:numRef>
          </c:val>
        </c:ser>
        <c:dLbls>
          <c:showLegendKey val="0"/>
          <c:showVal val="0"/>
          <c:showCatName val="0"/>
          <c:showSerName val="0"/>
          <c:showPercent val="0"/>
          <c:showBubbleSize val="0"/>
        </c:dLbls>
        <c:gapWidth val="219"/>
        <c:overlap val="-27"/>
        <c:axId val="412628912"/>
        <c:axId val="412633224"/>
      </c:barChart>
      <c:catAx>
        <c:axId val="41262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33224"/>
        <c:crosses val="autoZero"/>
        <c:auto val="1"/>
        <c:lblAlgn val="ctr"/>
        <c:lblOffset val="100"/>
        <c:noMultiLvlLbl val="0"/>
      </c:catAx>
      <c:valAx>
        <c:axId val="412633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28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61046623894582"/>
          <c:y val="0.13105178290157563"/>
          <c:w val="0.43859345758434992"/>
          <c:h val="0.62715862433495539"/>
        </c:manualLayout>
      </c:layout>
      <c:pieChart>
        <c:varyColors val="1"/>
        <c:ser>
          <c:idx val="0"/>
          <c:order val="0"/>
          <c:spPr>
            <a:solidFill>
              <a:schemeClr val="accent1">
                <a:lumMod val="20000"/>
                <a:lumOff val="80000"/>
              </a:schemeClr>
            </a:solidFill>
          </c:spPr>
          <c:dPt>
            <c:idx val="0"/>
            <c:bubble3D val="0"/>
            <c:spPr>
              <a:solidFill>
                <a:srgbClr val="0001B4"/>
              </a:solidFill>
              <a:ln w="19050">
                <a:solidFill>
                  <a:schemeClr val="lt1"/>
                </a:solidFill>
              </a:ln>
              <a:effectLst/>
            </c:spPr>
          </c:dPt>
          <c:dPt>
            <c:idx val="1"/>
            <c:bubble3D val="0"/>
            <c:spPr>
              <a:solidFill>
                <a:schemeClr val="accent1">
                  <a:lumMod val="60000"/>
                  <a:lumOff val="40000"/>
                </a:schemeClr>
              </a:solidFill>
              <a:ln w="19050">
                <a:solidFill>
                  <a:schemeClr val="lt1"/>
                </a:solidFill>
              </a:ln>
              <a:effectLst/>
            </c:spPr>
          </c:dPt>
          <c:dPt>
            <c:idx val="2"/>
            <c:bubble3D val="0"/>
            <c:spPr>
              <a:solidFill>
                <a:schemeClr val="accent1">
                  <a:lumMod val="20000"/>
                  <a:lumOff val="80000"/>
                </a:schemeClr>
              </a:solidFill>
              <a:ln w="19050">
                <a:solidFill>
                  <a:schemeClr val="lt1"/>
                </a:solidFill>
              </a:ln>
              <a:effectLst/>
            </c:spPr>
          </c:dPt>
          <c:dLbls>
            <c:dLbl>
              <c:idx val="0"/>
              <c:layout>
                <c:manualLayout>
                  <c:x val="3.5861691980016465E-2"/>
                  <c:y val="-0.22043903576308088"/>
                </c:manualLayout>
              </c:layout>
              <c:tx>
                <c:rich>
                  <a:bodyPr/>
                  <a:lstStyle/>
                  <a:p>
                    <a:r>
                      <a:rPr lang="en-US" sz="1200" b="1" dirty="0" err="1" smtClean="0"/>
                      <a:t>Pamats</a:t>
                    </a:r>
                    <a:r>
                      <a:rPr lang="en-US" sz="1200" dirty="0" smtClean="0"/>
                      <a:t> </a:t>
                    </a:r>
                  </a:p>
                  <a:p>
                    <a:r>
                      <a:rPr lang="en-US" sz="1200" dirty="0" smtClean="0"/>
                      <a:t>(</a:t>
                    </a:r>
                    <a:r>
                      <a:rPr lang="en-US" sz="1200" dirty="0" err="1" smtClean="0"/>
                      <a:t>sniegumā</a:t>
                    </a:r>
                    <a:r>
                      <a:rPr lang="en-US" sz="1200" dirty="0" smtClean="0"/>
                      <a:t> balstīts,</a:t>
                    </a:r>
                    <a:r>
                      <a:rPr lang="en-US" sz="1200" baseline="0" dirty="0" smtClean="0"/>
                      <a:t> atsakoties no PLE </a:t>
                    </a:r>
                    <a:r>
                      <a:rPr lang="en-US" sz="1200" baseline="0" dirty="0" err="1" smtClean="0"/>
                      <a:t>skaitīšanas</a:t>
                    </a:r>
                    <a:r>
                      <a:rPr lang="en-US" sz="1200" baseline="0" dirty="0" smtClean="0"/>
                      <a:t>)</a:t>
                    </a:r>
                    <a:endParaRPr lang="en-US" sz="1200" dirty="0" smtClean="0"/>
                  </a:p>
                  <a:p>
                    <a:fld id="{D81C17C2-C270-419F-BC3D-CDC028133BBE}" type="PERCENTAGE">
                      <a:rPr lang="en-US" sz="1200" b="1" smtClean="0"/>
                      <a:pPr/>
                      <a:t>[PERCENTAGE]</a:t>
                    </a:fld>
                    <a:endParaRPr lang="en-GB"/>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layout>
                <c:manualLayout>
                  <c:x val="0.32491097027128069"/>
                  <c:y val="-1.0108724010402789E-2"/>
                </c:manualLayout>
              </c:layout>
              <c:tx>
                <c:rich>
                  <a:bodyPr rot="0" spcFirstLastPara="1" vertOverflow="ellipsis" vert="horz" wrap="square" lIns="38100" tIns="19050" rIns="38100" bIns="19050" anchor="ctr" anchorCtr="1">
                    <a:noAutofit/>
                  </a:bodyPr>
                  <a:lstStyle/>
                  <a:p>
                    <a:pPr>
                      <a:defRPr sz="1200" b="0" i="0" u="none" strike="noStrike" kern="1200" baseline="0">
                        <a:solidFill>
                          <a:srgbClr val="0001B4"/>
                        </a:solidFill>
                        <a:latin typeface="+mn-lt"/>
                        <a:ea typeface="+mn-ea"/>
                        <a:cs typeface="+mn-cs"/>
                      </a:defRPr>
                    </a:pPr>
                    <a:r>
                      <a:rPr lang="en-US" sz="1200" b="1" dirty="0" smtClean="0"/>
                      <a:t>Attīstības finansējums</a:t>
                    </a:r>
                  </a:p>
                  <a:p>
                    <a:pPr>
                      <a:defRPr sz="1200">
                        <a:solidFill>
                          <a:srgbClr val="0001B4"/>
                        </a:solidFill>
                      </a:defRPr>
                    </a:pPr>
                    <a:r>
                      <a:rPr lang="en-US" sz="1200" dirty="0" smtClean="0"/>
                      <a:t>- </a:t>
                    </a:r>
                    <a:r>
                      <a:rPr lang="en-US" sz="1200" dirty="0" err="1" smtClean="0"/>
                      <a:t>Infrastruktūras</a:t>
                    </a:r>
                    <a:r>
                      <a:rPr lang="en-US" sz="1200" baseline="0" dirty="0" smtClean="0"/>
                      <a:t> uzturēšanai</a:t>
                    </a:r>
                  </a:p>
                  <a:p>
                    <a:pPr>
                      <a:defRPr sz="1200">
                        <a:solidFill>
                          <a:srgbClr val="0001B4"/>
                        </a:solidFill>
                      </a:defRPr>
                    </a:pPr>
                    <a:r>
                      <a:rPr lang="en-US" sz="1200" baseline="0" dirty="0" smtClean="0"/>
                      <a:t>- </a:t>
                    </a:r>
                    <a:r>
                      <a:rPr lang="en-US" sz="1200" baseline="0" dirty="0" err="1" smtClean="0"/>
                      <a:t>Nacionālo</a:t>
                    </a:r>
                    <a:r>
                      <a:rPr lang="en-US" sz="1200" baseline="0" dirty="0" smtClean="0"/>
                      <a:t> prioritāšu īstenošanai</a:t>
                    </a:r>
                  </a:p>
                  <a:p>
                    <a:pPr>
                      <a:defRPr sz="1200">
                        <a:solidFill>
                          <a:srgbClr val="0001B4"/>
                        </a:solidFill>
                      </a:defRPr>
                    </a:pPr>
                    <a:r>
                      <a:rPr lang="en-US" sz="1200" baseline="0" dirty="0" smtClean="0"/>
                      <a:t>- Izcilības finansējums par starptautiskā novērtējuma rezultātiem</a:t>
                    </a:r>
                    <a:endParaRPr lang="en-US" sz="1200" dirty="0" smtClean="0"/>
                  </a:p>
                  <a:p>
                    <a:pPr>
                      <a:defRPr sz="1200">
                        <a:solidFill>
                          <a:srgbClr val="0001B4"/>
                        </a:solidFill>
                      </a:defRPr>
                    </a:pPr>
                    <a:fld id="{ABAF5720-6C18-40B3-8BE3-5D4C3D8FE205}" type="PERCENTAGE">
                      <a:rPr lang="en-US" sz="1200" b="1" smtClean="0"/>
                      <a:pPr>
                        <a:defRPr sz="1200">
                          <a:solidFill>
                            <a:srgbClr val="0001B4"/>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rgbClr val="0001B4"/>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32315755586872036"/>
                      <c:h val="0.48352450535029273"/>
                    </c:manualLayout>
                  </c15:layout>
                  <c15:dlblFieldTable/>
                  <c15:showDataLabelsRange val="0"/>
                </c:ext>
              </c:extLst>
            </c:dLbl>
            <c:dLbl>
              <c:idx val="2"/>
              <c:layout>
                <c:manualLayout>
                  <c:x val="-0.11008330828857944"/>
                  <c:y val="-0.14977186049001323"/>
                </c:manualLayout>
              </c:layout>
              <c:tx>
                <c:rich>
                  <a:bodyPr rot="0" spcFirstLastPara="1" vertOverflow="ellipsis" vert="horz" wrap="square" lIns="38100" tIns="19050" rIns="38100" bIns="19050" anchor="ctr" anchorCtr="1">
                    <a:spAutoFit/>
                  </a:bodyPr>
                  <a:lstStyle/>
                  <a:p>
                    <a:pPr marL="0" indent="0">
                      <a:buFontTx/>
                      <a:buNone/>
                      <a:defRPr sz="1200" b="0" i="0" u="none" strike="noStrike" kern="1200" baseline="0">
                        <a:solidFill>
                          <a:srgbClr val="0001B4"/>
                        </a:solidFill>
                        <a:latin typeface="+mn-lt"/>
                        <a:ea typeface="+mn-ea"/>
                        <a:cs typeface="+mn-cs"/>
                      </a:defRPr>
                    </a:pPr>
                    <a:r>
                      <a:rPr lang="en-US" sz="1200" b="1" dirty="0" smtClean="0"/>
                      <a:t>Rezultāti</a:t>
                    </a:r>
                  </a:p>
                  <a:p>
                    <a:pPr marL="0" indent="0">
                      <a:buFontTx/>
                      <a:buNone/>
                      <a:defRPr sz="1200">
                        <a:solidFill>
                          <a:srgbClr val="0001B4"/>
                        </a:solidFill>
                      </a:defRPr>
                    </a:pPr>
                    <a:r>
                      <a:rPr lang="en-US" sz="1200" dirty="0" smtClean="0"/>
                      <a:t>- </a:t>
                    </a:r>
                    <a:r>
                      <a:rPr lang="en-US" sz="1200" dirty="0" err="1" smtClean="0"/>
                      <a:t>Sadarbība</a:t>
                    </a:r>
                    <a:r>
                      <a:rPr lang="en-US" sz="1200" dirty="0" smtClean="0"/>
                      <a:t> </a:t>
                    </a:r>
                    <a:r>
                      <a:rPr lang="en-US" sz="1200" dirty="0" err="1" smtClean="0"/>
                      <a:t>ar</a:t>
                    </a:r>
                    <a:r>
                      <a:rPr lang="en-US" sz="1200" dirty="0" smtClean="0"/>
                      <a:t> </a:t>
                    </a:r>
                    <a:r>
                      <a:rPr lang="en-US" sz="1200" dirty="0" err="1" smtClean="0"/>
                      <a:t>industriju</a:t>
                    </a:r>
                    <a:endParaRPr lang="en-US" sz="1200" dirty="0" smtClean="0"/>
                  </a:p>
                  <a:p>
                    <a:pPr marL="0" indent="0">
                      <a:buFontTx/>
                      <a:buNone/>
                      <a:defRPr sz="1200">
                        <a:solidFill>
                          <a:srgbClr val="0001B4"/>
                        </a:solidFill>
                      </a:defRPr>
                    </a:pPr>
                    <a:r>
                      <a:rPr lang="en-US" sz="1200" dirty="0" smtClean="0"/>
                      <a:t>- </a:t>
                    </a:r>
                    <a:r>
                      <a:rPr lang="en-US" sz="1200" dirty="0" err="1" smtClean="0"/>
                      <a:t>Starptautiskā</a:t>
                    </a:r>
                    <a:r>
                      <a:rPr lang="en-US" sz="1200" dirty="0" smtClean="0"/>
                      <a:t> konkurētspēja</a:t>
                    </a:r>
                  </a:p>
                  <a:p>
                    <a:pPr marL="0" indent="0">
                      <a:buFontTx/>
                      <a:buNone/>
                      <a:defRPr sz="1200">
                        <a:solidFill>
                          <a:srgbClr val="0001B4"/>
                        </a:solidFill>
                      </a:defRPr>
                    </a:pPr>
                    <a:r>
                      <a:rPr lang="en-US" sz="1200" dirty="0" smtClean="0"/>
                      <a:t>- </a:t>
                    </a:r>
                    <a:r>
                      <a:rPr lang="en-US" sz="1200" dirty="0" err="1" smtClean="0"/>
                      <a:t>Pētnieku</a:t>
                    </a:r>
                    <a:r>
                      <a:rPr lang="en-US" sz="1200" dirty="0" smtClean="0"/>
                      <a:t> ataudze</a:t>
                    </a:r>
                  </a:p>
                  <a:p>
                    <a:pPr marL="0" indent="0">
                      <a:buFontTx/>
                      <a:buNone/>
                      <a:defRPr sz="1200">
                        <a:solidFill>
                          <a:srgbClr val="0001B4"/>
                        </a:solidFill>
                      </a:defRPr>
                    </a:pPr>
                    <a:r>
                      <a:rPr lang="en-US" sz="1200" dirty="0" smtClean="0"/>
                      <a:t> - </a:t>
                    </a:r>
                    <a:r>
                      <a:rPr lang="en-US" sz="1200" dirty="0" err="1" smtClean="0"/>
                      <a:t>Publikācijas</a:t>
                    </a:r>
                    <a:endParaRPr lang="en-US" sz="1200" dirty="0" smtClean="0"/>
                  </a:p>
                  <a:p>
                    <a:pPr marL="0" indent="0">
                      <a:buFontTx/>
                      <a:buNone/>
                      <a:defRPr sz="1200">
                        <a:solidFill>
                          <a:srgbClr val="0001B4"/>
                        </a:solidFill>
                      </a:defRPr>
                    </a:pPr>
                    <a:r>
                      <a:rPr lang="en-US" sz="1200" dirty="0" smtClean="0"/>
                      <a:t> - </a:t>
                    </a:r>
                    <a:r>
                      <a:rPr lang="en-US" sz="1200" dirty="0" err="1" smtClean="0"/>
                      <a:t>Izcilība</a:t>
                    </a:r>
                    <a:endParaRPr lang="en-US" sz="1200" dirty="0" smtClean="0"/>
                  </a:p>
                  <a:p>
                    <a:pPr marL="0" indent="0">
                      <a:buFontTx/>
                      <a:buNone/>
                      <a:defRPr sz="1200">
                        <a:solidFill>
                          <a:srgbClr val="0001B4"/>
                        </a:solidFill>
                      </a:defRPr>
                    </a:pPr>
                    <a:fld id="{EBE81402-6BC1-4BA3-9482-4925C0F35884}" type="PERCENTAGE">
                      <a:rPr lang="en-US" sz="1200" b="1" smtClean="0"/>
                      <a:pPr marL="0" indent="0">
                        <a:buFontTx/>
                        <a:buNone/>
                        <a:defRPr sz="1200">
                          <a:solidFill>
                            <a:srgbClr val="0001B4"/>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marL="0" indent="0">
                    <a:buFontTx/>
                    <a:buNone/>
                    <a:defRPr sz="1200" b="0" i="0" u="none" strike="noStrike" kern="1200" baseline="0">
                      <a:solidFill>
                        <a:srgbClr val="0001B4"/>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1B4"/>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Sheet1!$Q$198:$Q$200</c:f>
              <c:strCache>
                <c:ptCount val="3"/>
                <c:pt idx="0">
                  <c:v>pamats</c:v>
                </c:pt>
                <c:pt idx="1">
                  <c:v>attītība</c:v>
                </c:pt>
                <c:pt idx="2">
                  <c:v>sniegums</c:v>
                </c:pt>
              </c:strCache>
            </c:strRef>
          </c:cat>
          <c:val>
            <c:numRef>
              <c:f>Sheet1!$R$198:$R$200</c:f>
              <c:numCache>
                <c:formatCode>General</c:formatCode>
                <c:ptCount val="3"/>
                <c:pt idx="0">
                  <c:v>40</c:v>
                </c:pt>
                <c:pt idx="1">
                  <c:v>20</c:v>
                </c:pt>
                <c:pt idx="2">
                  <c:v>40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'[ZPR030_20210817-123720.xlsx]ZIG030'!$J$3:$U$3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'[ZPR030_20210817-123720.xlsx]ZIG030'!$J$19:$U$19</c:f>
              <c:numCache>
                <c:formatCode>0.0</c:formatCode>
                <c:ptCount val="12"/>
                <c:pt idx="0">
                  <c:v>67.02</c:v>
                </c:pt>
                <c:pt idx="1">
                  <c:v>38.130000000000003</c:v>
                </c:pt>
                <c:pt idx="2">
                  <c:v>28.88</c:v>
                </c:pt>
                <c:pt idx="3">
                  <c:v>31.87</c:v>
                </c:pt>
                <c:pt idx="4">
                  <c:v>34.72</c:v>
                </c:pt>
                <c:pt idx="5">
                  <c:v>33.4</c:v>
                </c:pt>
                <c:pt idx="6">
                  <c:v>41.7</c:v>
                </c:pt>
                <c:pt idx="7">
                  <c:v>49.8</c:v>
                </c:pt>
                <c:pt idx="8">
                  <c:v>52.7</c:v>
                </c:pt>
                <c:pt idx="9">
                  <c:v>60.1</c:v>
                </c:pt>
                <c:pt idx="10">
                  <c:v>63.9</c:v>
                </c:pt>
                <c:pt idx="11">
                  <c:v>69.099999999999994</c:v>
                </c:pt>
              </c:numCache>
            </c:numRef>
          </c:val>
        </c:ser>
        <c:dLbls>
          <c:showLegendKey val="0"/>
          <c:showVal val="0"/>
          <c:showCatName val="0"/>
          <c:showSerName val="0"/>
          <c:showPercent val="0"/>
          <c:showBubbleSize val="0"/>
        </c:dLbls>
        <c:gapWidth val="94"/>
        <c:overlap val="-27"/>
        <c:axId val="410235152"/>
        <c:axId val="410235544"/>
      </c:barChart>
      <c:catAx>
        <c:axId val="41023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5544"/>
        <c:crosses val="autoZero"/>
        <c:auto val="1"/>
        <c:lblAlgn val="ctr"/>
        <c:lblOffset val="100"/>
        <c:noMultiLvlLbl val="0"/>
      </c:catAx>
      <c:valAx>
        <c:axId val="41023554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5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Esošais VB P&amp;A</c:v>
          </c:tx>
          <c:spPr>
            <a:solidFill>
              <a:schemeClr val="accent1"/>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Sheet1!$B$1:$L$1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Sheet1!$B$31:$L$31</c:f>
              <c:numCache>
                <c:formatCode>0.0</c:formatCode>
                <c:ptCount val="11"/>
                <c:pt idx="0">
                  <c:v>60.1</c:v>
                </c:pt>
                <c:pt idx="1">
                  <c:v>63.9</c:v>
                </c:pt>
                <c:pt idx="2">
                  <c:v>69</c:v>
                </c:pt>
                <c:pt idx="3">
                  <c:v>69</c:v>
                </c:pt>
                <c:pt idx="4">
                  <c:v>69</c:v>
                </c:pt>
                <c:pt idx="5">
                  <c:v>69</c:v>
                </c:pt>
                <c:pt idx="6">
                  <c:v>69</c:v>
                </c:pt>
                <c:pt idx="7">
                  <c:v>69</c:v>
                </c:pt>
                <c:pt idx="8">
                  <c:v>69</c:v>
                </c:pt>
                <c:pt idx="9">
                  <c:v>69</c:v>
                </c:pt>
                <c:pt idx="10">
                  <c:v>69</c:v>
                </c:pt>
              </c:numCache>
            </c:numRef>
          </c:val>
        </c:ser>
        <c:ser>
          <c:idx val="1"/>
          <c:order val="1"/>
          <c:tx>
            <c:v>ZTAIP paredzētais</c:v>
          </c:tx>
          <c:spPr>
            <a:solidFill>
              <a:schemeClr val="accent1">
                <a:lumMod val="40000"/>
                <a:lumOff val="60000"/>
              </a:schemeClr>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Sheet1!$B$1:$L$1</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Sheet1!$B$32:$L$32</c:f>
              <c:numCache>
                <c:formatCode>General</c:formatCode>
                <c:ptCount val="11"/>
                <c:pt idx="5" formatCode="0.0">
                  <c:v>11</c:v>
                </c:pt>
                <c:pt idx="6" formatCode="0.0">
                  <c:v>17.400607000000008</c:v>
                </c:pt>
                <c:pt idx="7" formatCode="0.0">
                  <c:v>30.014775999999998</c:v>
                </c:pt>
                <c:pt idx="8" formatCode="0.0">
                  <c:v>39.192559000000003</c:v>
                </c:pt>
                <c:pt idx="9" formatCode="0.0">
                  <c:v>47.192559000000003</c:v>
                </c:pt>
                <c:pt idx="10" formatCode="0.0">
                  <c:v>51.692559000000003</c:v>
                </c:pt>
              </c:numCache>
            </c:numRef>
          </c:val>
        </c:ser>
        <c:dLbls>
          <c:showLegendKey val="0"/>
          <c:showVal val="0"/>
          <c:showCatName val="0"/>
          <c:showSerName val="0"/>
          <c:showPercent val="0"/>
          <c:showBubbleSize val="0"/>
        </c:dLbls>
        <c:gapWidth val="0"/>
        <c:overlap val="100"/>
        <c:axId val="410228096"/>
        <c:axId val="410227704"/>
      </c:barChart>
      <c:catAx>
        <c:axId val="41022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10227704"/>
        <c:crosses val="autoZero"/>
        <c:auto val="1"/>
        <c:lblAlgn val="ctr"/>
        <c:lblOffset val="100"/>
        <c:noMultiLvlLbl val="0"/>
      </c:catAx>
      <c:valAx>
        <c:axId val="41022770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lv-LV" sz="1200"/>
                  <a:t>milj. </a:t>
                </a:r>
                <a:r>
                  <a:rPr lang="lv-LV" sz="1200" i="1"/>
                  <a:t>euro</a:t>
                </a:r>
                <a:endParaRPr lang="en-GB" sz="1200" i="1"/>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022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KOPSAVILKUMS!$I$37:$U$37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KOPSAVILKUMS!$I$39:$U$39</c:f>
              <c:numCache>
                <c:formatCode>General</c:formatCode>
                <c:ptCount val="13"/>
                <c:pt idx="0">
                  <c:v>22.6</c:v>
                </c:pt>
                <c:pt idx="1">
                  <c:v>12</c:v>
                </c:pt>
                <c:pt idx="2">
                  <c:v>11.3</c:v>
                </c:pt>
                <c:pt idx="3">
                  <c:v>11.3</c:v>
                </c:pt>
                <c:pt idx="4">
                  <c:v>11.6</c:v>
                </c:pt>
                <c:pt idx="5">
                  <c:v>11.3</c:v>
                </c:pt>
                <c:pt idx="6">
                  <c:v>17.600000000000001</c:v>
                </c:pt>
                <c:pt idx="7">
                  <c:v>22.9</c:v>
                </c:pt>
                <c:pt idx="8">
                  <c:v>27.1</c:v>
                </c:pt>
                <c:pt idx="9">
                  <c:v>27.2</c:v>
                </c:pt>
                <c:pt idx="10">
                  <c:v>27.7</c:v>
                </c:pt>
                <c:pt idx="11">
                  <c:v>28.1</c:v>
                </c:pt>
                <c:pt idx="12">
                  <c:v>27.8</c:v>
                </c:pt>
              </c:numCache>
            </c:numRef>
          </c:val>
        </c:ser>
        <c:dLbls>
          <c:showLegendKey val="0"/>
          <c:showVal val="0"/>
          <c:showCatName val="0"/>
          <c:showSerName val="0"/>
          <c:showPercent val="0"/>
          <c:showBubbleSize val="0"/>
        </c:dLbls>
        <c:gapWidth val="219"/>
        <c:overlap val="-27"/>
        <c:axId val="410236328"/>
        <c:axId val="410238288"/>
      </c:barChart>
      <c:catAx>
        <c:axId val="41023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8288"/>
        <c:crosses val="autoZero"/>
        <c:auto val="1"/>
        <c:lblAlgn val="ctr"/>
        <c:lblOffset val="100"/>
        <c:noMultiLvlLbl val="0"/>
      </c:catAx>
      <c:valAx>
        <c:axId val="410238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6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 no kopējā Latvijas P&amp;A finansējuma</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ZIG030!$J$3:$U$3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ZIG030!$J$24:$U$24</c:f>
              <c:numCache>
                <c:formatCode>0.0%</c:formatCode>
                <c:ptCount val="12"/>
                <c:pt idx="0">
                  <c:v>0.15962706596976975</c:v>
                </c:pt>
                <c:pt idx="1">
                  <c:v>0.14079549454417459</c:v>
                </c:pt>
                <c:pt idx="2">
                  <c:v>0.10313983205549471</c:v>
                </c:pt>
                <c:pt idx="3">
                  <c:v>7.9898182846637911E-2</c:v>
                </c:pt>
                <c:pt idx="4">
                  <c:v>7.9768945124467069E-2</c:v>
                </c:pt>
                <c:pt idx="5">
                  <c:v>8.100358422939069E-2</c:v>
                </c:pt>
                <c:pt idx="6">
                  <c:v>0.10810810810810811</c:v>
                </c:pt>
                <c:pt idx="7">
                  <c:v>0.15045992115637319</c:v>
                </c:pt>
                <c:pt idx="8">
                  <c:v>0.24547101449275363</c:v>
                </c:pt>
                <c:pt idx="9">
                  <c:v>0.19724437998549674</c:v>
                </c:pt>
                <c:pt idx="10">
                  <c:v>0.14876476906552094</c:v>
                </c:pt>
                <c:pt idx="11">
                  <c:v>0.14402870322911329</c:v>
                </c:pt>
              </c:numCache>
            </c:numRef>
          </c:val>
          <c:smooth val="0"/>
        </c:ser>
        <c:ser>
          <c:idx val="1"/>
          <c:order val="1"/>
          <c:tx>
            <c:v>% no valsts budžeta P&amp;A finansējuma</c:v>
          </c:tx>
          <c:spPr>
            <a:ln w="28575" cap="rnd">
              <a:solidFill>
                <a:schemeClr val="accent3">
                  <a:lumMod val="75000"/>
                </a:schemeClr>
              </a:solidFill>
              <a:round/>
            </a:ln>
            <a:effectLst/>
          </c:spPr>
          <c:marker>
            <c:symbol val="circle"/>
            <c:size val="5"/>
            <c:spPr>
              <a:solidFill>
                <a:schemeClr val="accent3">
                  <a:lumMod val="75000"/>
                </a:schemeClr>
              </a:solidFill>
              <a:ln w="9525">
                <a:solidFill>
                  <a:schemeClr val="accent3">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ZIG030!$J$3:$U$3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ZIG030!$J$25:$U$25</c:f>
              <c:numCache>
                <c:formatCode>0.0%</c:formatCode>
                <c:ptCount val="12"/>
                <c:pt idx="0">
                  <c:v>0.33721277230677416</c:v>
                </c:pt>
                <c:pt idx="1">
                  <c:v>0.3147128245476003</c:v>
                </c:pt>
                <c:pt idx="2">
                  <c:v>0.39127423822714685</c:v>
                </c:pt>
                <c:pt idx="3">
                  <c:v>0.35456542202698466</c:v>
                </c:pt>
                <c:pt idx="4">
                  <c:v>0.33410138248847926</c:v>
                </c:pt>
                <c:pt idx="5">
                  <c:v>0.33832335329341323</c:v>
                </c:pt>
                <c:pt idx="6">
                  <c:v>0.42206235011990406</c:v>
                </c:pt>
                <c:pt idx="7">
                  <c:v>0.45983935742971888</c:v>
                </c:pt>
                <c:pt idx="8">
                  <c:v>0.51423149905123344</c:v>
                </c:pt>
                <c:pt idx="9">
                  <c:v>0.45257903494176371</c:v>
                </c:pt>
                <c:pt idx="10">
                  <c:v>0.43348982785602502</c:v>
                </c:pt>
                <c:pt idx="11">
                  <c:v>0.4072463768115942</c:v>
                </c:pt>
              </c:numCache>
            </c:numRef>
          </c:val>
          <c:smooth val="0"/>
        </c:ser>
        <c:dLbls>
          <c:showLegendKey val="0"/>
          <c:showVal val="0"/>
          <c:showCatName val="0"/>
          <c:showSerName val="0"/>
          <c:showPercent val="0"/>
          <c:showBubbleSize val="0"/>
        </c:dLbls>
        <c:marker val="1"/>
        <c:smooth val="0"/>
        <c:axId val="410236720"/>
        <c:axId val="410226920"/>
      </c:lineChart>
      <c:catAx>
        <c:axId val="4102367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26920"/>
        <c:crosses val="autoZero"/>
        <c:auto val="1"/>
        <c:lblAlgn val="ctr"/>
        <c:lblOffset val="100"/>
        <c:noMultiLvlLbl val="0"/>
      </c:catAx>
      <c:valAx>
        <c:axId val="41022692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672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40000"/>
                <a:lumOff val="60000"/>
              </a:schemeClr>
            </a:solidFill>
            <a:ln>
              <a:noFill/>
            </a:ln>
            <a:effectLst/>
          </c:spPr>
          <c:invertIfNegative val="0"/>
          <c:dPt>
            <c:idx val="10"/>
            <c:invertIfNegative val="0"/>
            <c:bubble3D val="0"/>
            <c:spPr>
              <a:solidFill>
                <a:schemeClr val="accent4">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Sheet1!$C$31:$C$54</c:f>
              <c:strCache>
                <c:ptCount val="24"/>
                <c:pt idx="0">
                  <c:v>LU MII</c:v>
                </c:pt>
                <c:pt idx="1">
                  <c:v>LLU</c:v>
                </c:pt>
                <c:pt idx="2">
                  <c:v>VeA</c:v>
                </c:pt>
                <c:pt idx="3">
                  <c:v>DI</c:v>
                </c:pt>
                <c:pt idx="4">
                  <c:v>DU LHEI</c:v>
                </c:pt>
                <c:pt idx="5">
                  <c:v>LU CFI</c:v>
                </c:pt>
                <c:pt idx="6">
                  <c:v>ViA</c:v>
                </c:pt>
                <c:pt idx="7">
                  <c:v>LKA</c:v>
                </c:pt>
                <c:pt idx="8">
                  <c:v>EDI</c:v>
                </c:pt>
                <c:pt idx="9">
                  <c:v>RTU</c:v>
                </c:pt>
                <c:pt idx="10">
                  <c:v>Vidēji</c:v>
                </c:pt>
                <c:pt idx="11">
                  <c:v>LU</c:v>
                </c:pt>
                <c:pt idx="12">
                  <c:v>SILAVA</c:v>
                </c:pt>
                <c:pt idx="13">
                  <c:v>BIOR</c:v>
                </c:pt>
                <c:pt idx="14">
                  <c:v>OSI</c:v>
                </c:pt>
                <c:pt idx="15">
                  <c:v>BMC</c:v>
                </c:pt>
                <c:pt idx="16">
                  <c:v>JVLMA</c:v>
                </c:pt>
                <c:pt idx="17">
                  <c:v>RTA</c:v>
                </c:pt>
                <c:pt idx="18">
                  <c:v>AREI</c:v>
                </c:pt>
                <c:pt idx="19">
                  <c:v>RSU</c:v>
                </c:pt>
                <c:pt idx="20">
                  <c:v>LV KĶI</c:v>
                </c:pt>
                <c:pt idx="21">
                  <c:v>LiepU</c:v>
                </c:pt>
                <c:pt idx="22">
                  <c:v>LU LFMI</c:v>
                </c:pt>
                <c:pt idx="23">
                  <c:v>DU</c:v>
                </c:pt>
              </c:strCache>
            </c:strRef>
          </c:cat>
          <c:val>
            <c:numRef>
              <c:f>Sheet1!$D$31:$D$54</c:f>
              <c:numCache>
                <c:formatCode>0%</c:formatCode>
                <c:ptCount val="24"/>
                <c:pt idx="0">
                  <c:v>8.4748490604463239E-2</c:v>
                </c:pt>
                <c:pt idx="1">
                  <c:v>9.4717780578720726E-2</c:v>
                </c:pt>
                <c:pt idx="2">
                  <c:v>9.877174846657942E-2</c:v>
                </c:pt>
                <c:pt idx="3">
                  <c:v>0.10676699073605848</c:v>
                </c:pt>
                <c:pt idx="4">
                  <c:v>0.10707376881086857</c:v>
                </c:pt>
                <c:pt idx="5">
                  <c:v>0.10981736621978601</c:v>
                </c:pt>
                <c:pt idx="6">
                  <c:v>0.11284987355072021</c:v>
                </c:pt>
                <c:pt idx="7">
                  <c:v>0.14553716361307042</c:v>
                </c:pt>
                <c:pt idx="8">
                  <c:v>0.14880860667402931</c:v>
                </c:pt>
                <c:pt idx="9">
                  <c:v>0.15495978965355503</c:v>
                </c:pt>
                <c:pt idx="10">
                  <c:v>0.16092101657928665</c:v>
                </c:pt>
                <c:pt idx="11">
                  <c:v>0.16101742008567485</c:v>
                </c:pt>
                <c:pt idx="12">
                  <c:v>0.17677364821678407</c:v>
                </c:pt>
                <c:pt idx="13">
                  <c:v>0.18032300870788215</c:v>
                </c:pt>
                <c:pt idx="14">
                  <c:v>0.1809607839489604</c:v>
                </c:pt>
                <c:pt idx="15">
                  <c:v>0.18832992186061195</c:v>
                </c:pt>
                <c:pt idx="16">
                  <c:v>0.19033600103335252</c:v>
                </c:pt>
                <c:pt idx="17">
                  <c:v>0.22068264750463146</c:v>
                </c:pt>
                <c:pt idx="18">
                  <c:v>0.24532242821742292</c:v>
                </c:pt>
                <c:pt idx="19">
                  <c:v>0.24685373665463106</c:v>
                </c:pt>
                <c:pt idx="20">
                  <c:v>0.24687081016948986</c:v>
                </c:pt>
                <c:pt idx="21">
                  <c:v>0.2778812834960368</c:v>
                </c:pt>
                <c:pt idx="22">
                  <c:v>0.29098585583472436</c:v>
                </c:pt>
                <c:pt idx="23">
                  <c:v>0.40044202311291427</c:v>
                </c:pt>
              </c:numCache>
            </c:numRef>
          </c:val>
        </c:ser>
        <c:dLbls>
          <c:showLegendKey val="0"/>
          <c:showVal val="0"/>
          <c:showCatName val="0"/>
          <c:showSerName val="0"/>
          <c:showPercent val="0"/>
          <c:showBubbleSize val="0"/>
        </c:dLbls>
        <c:gapWidth val="65"/>
        <c:overlap val="-27"/>
        <c:axId val="410239072"/>
        <c:axId val="410241816"/>
      </c:barChart>
      <c:catAx>
        <c:axId val="41023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41816"/>
        <c:crosses val="autoZero"/>
        <c:auto val="1"/>
        <c:lblAlgn val="ctr"/>
        <c:lblOffset val="100"/>
        <c:noMultiLvlLbl val="0"/>
      </c:catAx>
      <c:valAx>
        <c:axId val="4102418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239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Sheet1!$G$6:$G$19</c:f>
              <c:strCache>
                <c:ptCount val="14"/>
                <c:pt idx="0">
                  <c:v>&gt;30 % mazāk</c:v>
                </c:pt>
                <c:pt idx="1">
                  <c:v>25 - 30 % mazāk</c:v>
                </c:pt>
                <c:pt idx="2">
                  <c:v>20 - 25 % mazāk</c:v>
                </c:pt>
                <c:pt idx="3">
                  <c:v>15 - 20 % mazāk</c:v>
                </c:pt>
                <c:pt idx="4">
                  <c:v>10 - 15 % mazāk</c:v>
                </c:pt>
                <c:pt idx="5">
                  <c:v>5 - 10 % mazāk</c:v>
                </c:pt>
                <c:pt idx="6">
                  <c:v>&lt; 5 % mazāk</c:v>
                </c:pt>
                <c:pt idx="7">
                  <c:v>&lt; 5 % vairāk</c:v>
                </c:pt>
                <c:pt idx="8">
                  <c:v>5 - 10 % vairāk</c:v>
                </c:pt>
                <c:pt idx="9">
                  <c:v>10 - 15 % vairāk</c:v>
                </c:pt>
                <c:pt idx="10">
                  <c:v>15 - 20 % vairāk</c:v>
                </c:pt>
                <c:pt idx="11">
                  <c:v>20 - 25 % vairāk</c:v>
                </c:pt>
                <c:pt idx="12">
                  <c:v>25 - 30 % vairāk</c:v>
                </c:pt>
                <c:pt idx="13">
                  <c:v>&gt; 30 % vairāk</c:v>
                </c:pt>
              </c:strCache>
            </c:strRef>
          </c:cat>
          <c:val>
            <c:numRef>
              <c:f>Sheet1!$H$6:$H$19</c:f>
              <c:numCache>
                <c:formatCode>General</c:formatCode>
                <c:ptCount val="14"/>
                <c:pt idx="0">
                  <c:v>0</c:v>
                </c:pt>
                <c:pt idx="1">
                  <c:v>0</c:v>
                </c:pt>
                <c:pt idx="2">
                  <c:v>2</c:v>
                </c:pt>
                <c:pt idx="3">
                  <c:v>6</c:v>
                </c:pt>
                <c:pt idx="4">
                  <c:v>4</c:v>
                </c:pt>
                <c:pt idx="5">
                  <c:v>16</c:v>
                </c:pt>
                <c:pt idx="6">
                  <c:v>12</c:v>
                </c:pt>
                <c:pt idx="7">
                  <c:v>14</c:v>
                </c:pt>
                <c:pt idx="8">
                  <c:v>3</c:v>
                </c:pt>
                <c:pt idx="9">
                  <c:v>1</c:v>
                </c:pt>
                <c:pt idx="10">
                  <c:v>1</c:v>
                </c:pt>
                <c:pt idx="11">
                  <c:v>1</c:v>
                </c:pt>
                <c:pt idx="12">
                  <c:v>0</c:v>
                </c:pt>
                <c:pt idx="13">
                  <c:v>5</c:v>
                </c:pt>
              </c:numCache>
            </c:numRef>
          </c:val>
        </c:ser>
        <c:dLbls>
          <c:showLegendKey val="0"/>
          <c:showVal val="0"/>
          <c:showCatName val="0"/>
          <c:showSerName val="0"/>
          <c:showPercent val="0"/>
          <c:showBubbleSize val="0"/>
        </c:dLbls>
        <c:gapWidth val="150"/>
        <c:axId val="410240248"/>
        <c:axId val="410238680"/>
      </c:barChart>
      <c:catAx>
        <c:axId val="410240248"/>
        <c:scaling>
          <c:orientation val="minMax"/>
        </c:scaling>
        <c:delete val="0"/>
        <c:axPos val="b"/>
        <c:numFmt formatCode="General" sourceLinked="1"/>
        <c:majorTickMark val="out"/>
        <c:minorTickMark val="none"/>
        <c:tickLblPos val="nextTo"/>
        <c:crossAx val="410238680"/>
        <c:crosses val="autoZero"/>
        <c:auto val="1"/>
        <c:lblAlgn val="ctr"/>
        <c:lblOffset val="100"/>
        <c:noMultiLvlLbl val="0"/>
      </c:catAx>
      <c:valAx>
        <c:axId val="410238680"/>
        <c:scaling>
          <c:orientation val="minMax"/>
        </c:scaling>
        <c:delete val="0"/>
        <c:axPos val="l"/>
        <c:title>
          <c:tx>
            <c:rich>
              <a:bodyPr/>
              <a:lstStyle/>
              <a:p>
                <a:pPr>
                  <a:defRPr/>
                </a:pPr>
                <a:r>
                  <a:rPr lang="lv-LV"/>
                  <a:t>Institūciju skaits</a:t>
                </a:r>
              </a:p>
              <a:p>
                <a:pPr>
                  <a:defRPr/>
                </a:pPr>
                <a:endParaRPr lang="en-GB"/>
              </a:p>
            </c:rich>
          </c:tx>
          <c:overlay val="0"/>
        </c:title>
        <c:numFmt formatCode="General" sourceLinked="1"/>
        <c:majorTickMark val="out"/>
        <c:minorTickMark val="none"/>
        <c:tickLblPos val="nextTo"/>
        <c:crossAx val="41024024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168829352151457E-2"/>
          <c:y val="0.19324771903512061"/>
          <c:w val="0.88343051613639456"/>
          <c:h val="0.70196051882403587"/>
        </c:manualLayout>
      </c:layout>
      <c:barChart>
        <c:barDir val="col"/>
        <c:grouping val="stacked"/>
        <c:varyColors val="0"/>
        <c:ser>
          <c:idx val="0"/>
          <c:order val="0"/>
          <c:tx>
            <c:v>Esošais finansējums</c:v>
          </c:tx>
          <c:spPr>
            <a:solidFill>
              <a:schemeClr val="tx2"/>
            </a:solidFill>
            <a:ln>
              <a:solidFill>
                <a:schemeClr val="bg1">
                  <a:lumMod val="85000"/>
                </a:schemeClr>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Sheet1!$B$1:$H$1</c:f>
              <c:numCache>
                <c:formatCode>General</c:formatCode>
                <c:ptCount val="7"/>
                <c:pt idx="0">
                  <c:v>2021</c:v>
                </c:pt>
                <c:pt idx="1">
                  <c:v>2022</c:v>
                </c:pt>
                <c:pt idx="2">
                  <c:v>2023</c:v>
                </c:pt>
                <c:pt idx="3">
                  <c:v>2024</c:v>
                </c:pt>
                <c:pt idx="4">
                  <c:v>2025</c:v>
                </c:pt>
                <c:pt idx="5">
                  <c:v>2026</c:v>
                </c:pt>
                <c:pt idx="6">
                  <c:v>2027</c:v>
                </c:pt>
              </c:numCache>
            </c:numRef>
          </c:cat>
          <c:val>
            <c:numRef>
              <c:f>Sheet1!$B$6:$H$6</c:f>
              <c:numCache>
                <c:formatCode>0.0</c:formatCode>
                <c:ptCount val="7"/>
                <c:pt idx="0">
                  <c:v>23.54</c:v>
                </c:pt>
                <c:pt idx="1">
                  <c:v>23.54</c:v>
                </c:pt>
                <c:pt idx="2">
                  <c:v>23.54</c:v>
                </c:pt>
                <c:pt idx="3">
                  <c:v>23.54</c:v>
                </c:pt>
                <c:pt idx="4">
                  <c:v>23.54</c:v>
                </c:pt>
                <c:pt idx="5">
                  <c:v>23.54</c:v>
                </c:pt>
                <c:pt idx="6">
                  <c:v>23.54</c:v>
                </c:pt>
              </c:numCache>
            </c:numRef>
          </c:val>
        </c:ser>
        <c:ser>
          <c:idx val="1"/>
          <c:order val="1"/>
          <c:tx>
            <c:v>Plānotais papildu finansējums</c:v>
          </c:tx>
          <c:spPr>
            <a:solidFill>
              <a:schemeClr val="tx2">
                <a:lumMod val="40000"/>
                <a:lumOff val="60000"/>
              </a:schemeClr>
            </a:solidFill>
            <a:ln>
              <a:solidFill>
                <a:schemeClr val="bg1">
                  <a:lumMod val="85000"/>
                </a:schemeClr>
              </a:solid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Sheet1!$B$1:$H$1</c:f>
              <c:numCache>
                <c:formatCode>General</c:formatCode>
                <c:ptCount val="7"/>
                <c:pt idx="0">
                  <c:v>2021</c:v>
                </c:pt>
                <c:pt idx="1">
                  <c:v>2022</c:v>
                </c:pt>
                <c:pt idx="2">
                  <c:v>2023</c:v>
                </c:pt>
                <c:pt idx="3">
                  <c:v>2024</c:v>
                </c:pt>
                <c:pt idx="4">
                  <c:v>2025</c:v>
                </c:pt>
                <c:pt idx="5">
                  <c:v>2026</c:v>
                </c:pt>
                <c:pt idx="6">
                  <c:v>2027</c:v>
                </c:pt>
              </c:numCache>
            </c:numRef>
          </c:cat>
          <c:val>
            <c:numRef>
              <c:f>Sheet1!$B$7:$H$7</c:f>
              <c:numCache>
                <c:formatCode>0.0</c:formatCode>
                <c:ptCount val="7"/>
                <c:pt idx="0">
                  <c:v>0</c:v>
                </c:pt>
                <c:pt idx="1">
                  <c:v>2</c:v>
                </c:pt>
                <c:pt idx="2">
                  <c:v>4</c:v>
                </c:pt>
                <c:pt idx="3">
                  <c:v>7</c:v>
                </c:pt>
                <c:pt idx="4">
                  <c:v>8</c:v>
                </c:pt>
                <c:pt idx="5">
                  <c:v>9</c:v>
                </c:pt>
                <c:pt idx="6">
                  <c:v>10</c:v>
                </c:pt>
              </c:numCache>
            </c:numRef>
          </c:val>
        </c:ser>
        <c:dLbls>
          <c:showLegendKey val="0"/>
          <c:showVal val="0"/>
          <c:showCatName val="0"/>
          <c:showSerName val="0"/>
          <c:showPercent val="0"/>
          <c:showBubbleSize val="0"/>
        </c:dLbls>
        <c:gapWidth val="0"/>
        <c:overlap val="100"/>
        <c:axId val="410239464"/>
        <c:axId val="410241032"/>
      </c:barChart>
      <c:catAx>
        <c:axId val="41023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0241032"/>
        <c:crosses val="autoZero"/>
        <c:auto val="1"/>
        <c:lblAlgn val="ctr"/>
        <c:lblOffset val="100"/>
        <c:noMultiLvlLbl val="0"/>
      </c:catAx>
      <c:valAx>
        <c:axId val="4102410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0239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600">
          <a:solidFill>
            <a:sysClr val="windowText" lastClr="000000"/>
          </a:solidFill>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Esošais finansējums</c:v>
          </c:tx>
          <c:spPr>
            <a:solidFill>
              <a:schemeClr val="tx2"/>
            </a:solidFill>
            <a:ln>
              <a:solidFill>
                <a:schemeClr val="bg1">
                  <a:lumMod val="85000"/>
                </a:schemeClr>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Sheet1!$B$1:$H$1</c:f>
              <c:numCache>
                <c:formatCode>General</c:formatCode>
                <c:ptCount val="7"/>
                <c:pt idx="0">
                  <c:v>2021</c:v>
                </c:pt>
                <c:pt idx="1">
                  <c:v>2022</c:v>
                </c:pt>
                <c:pt idx="2">
                  <c:v>2023</c:v>
                </c:pt>
                <c:pt idx="3">
                  <c:v>2024</c:v>
                </c:pt>
                <c:pt idx="4">
                  <c:v>2025</c:v>
                </c:pt>
                <c:pt idx="5">
                  <c:v>2026</c:v>
                </c:pt>
                <c:pt idx="6">
                  <c:v>2027</c:v>
                </c:pt>
              </c:numCache>
            </c:numRef>
          </c:cat>
          <c:val>
            <c:numRef>
              <c:f>Sheet1!$B$6:$H$6</c:f>
              <c:numCache>
                <c:formatCode>0.0</c:formatCode>
                <c:ptCount val="7"/>
                <c:pt idx="0">
                  <c:v>23.54</c:v>
                </c:pt>
                <c:pt idx="1">
                  <c:v>23.54</c:v>
                </c:pt>
                <c:pt idx="2">
                  <c:v>23.54</c:v>
                </c:pt>
                <c:pt idx="3">
                  <c:v>23.54</c:v>
                </c:pt>
                <c:pt idx="4">
                  <c:v>23.54</c:v>
                </c:pt>
                <c:pt idx="5">
                  <c:v>23.54</c:v>
                </c:pt>
                <c:pt idx="6">
                  <c:v>23.54</c:v>
                </c:pt>
              </c:numCache>
            </c:numRef>
          </c:val>
        </c:ser>
        <c:ser>
          <c:idx val="1"/>
          <c:order val="1"/>
          <c:tx>
            <c:v>Plānotais papildu finansējums</c:v>
          </c:tx>
          <c:spPr>
            <a:solidFill>
              <a:schemeClr val="tx2">
                <a:lumMod val="40000"/>
                <a:lumOff val="60000"/>
              </a:schemeClr>
            </a:solidFill>
            <a:ln>
              <a:solidFill>
                <a:schemeClr val="bg1">
                  <a:lumMod val="85000"/>
                </a:schemeClr>
              </a:solid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Sheet1!$B$1:$H$1</c:f>
              <c:numCache>
                <c:formatCode>General</c:formatCode>
                <c:ptCount val="7"/>
                <c:pt idx="0">
                  <c:v>2021</c:v>
                </c:pt>
                <c:pt idx="1">
                  <c:v>2022</c:v>
                </c:pt>
                <c:pt idx="2">
                  <c:v>2023</c:v>
                </c:pt>
                <c:pt idx="3">
                  <c:v>2024</c:v>
                </c:pt>
                <c:pt idx="4">
                  <c:v>2025</c:v>
                </c:pt>
                <c:pt idx="5">
                  <c:v>2026</c:v>
                </c:pt>
                <c:pt idx="6">
                  <c:v>2027</c:v>
                </c:pt>
              </c:numCache>
            </c:numRef>
          </c:cat>
          <c:val>
            <c:numRef>
              <c:f>Sheet1!$B$7:$H$7</c:f>
              <c:numCache>
                <c:formatCode>0.0</c:formatCode>
                <c:ptCount val="7"/>
                <c:pt idx="0">
                  <c:v>0</c:v>
                </c:pt>
                <c:pt idx="1">
                  <c:v>2</c:v>
                </c:pt>
                <c:pt idx="2">
                  <c:v>4</c:v>
                </c:pt>
                <c:pt idx="3">
                  <c:v>7</c:v>
                </c:pt>
                <c:pt idx="4">
                  <c:v>8</c:v>
                </c:pt>
                <c:pt idx="5">
                  <c:v>9</c:v>
                </c:pt>
                <c:pt idx="6">
                  <c:v>10</c:v>
                </c:pt>
              </c:numCache>
            </c:numRef>
          </c:val>
        </c:ser>
        <c:ser>
          <c:idx val="2"/>
          <c:order val="2"/>
          <c:tx>
            <c:v>Optimāli nepieciešamais papildu finansējums</c:v>
          </c:tx>
          <c:spPr>
            <a:solidFill>
              <a:schemeClr val="accent1">
                <a:lumMod val="20000"/>
                <a:lumOff val="80000"/>
              </a:schemeClr>
            </a:solidFill>
            <a:ln>
              <a:solidFill>
                <a:schemeClr val="bg1">
                  <a:lumMod val="85000"/>
                </a:schemeClr>
              </a:solid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Sheet1!$B$1:$H$1</c:f>
              <c:numCache>
                <c:formatCode>General</c:formatCode>
                <c:ptCount val="7"/>
                <c:pt idx="0">
                  <c:v>2021</c:v>
                </c:pt>
                <c:pt idx="1">
                  <c:v>2022</c:v>
                </c:pt>
                <c:pt idx="2">
                  <c:v>2023</c:v>
                </c:pt>
                <c:pt idx="3">
                  <c:v>2024</c:v>
                </c:pt>
                <c:pt idx="4">
                  <c:v>2025</c:v>
                </c:pt>
                <c:pt idx="5">
                  <c:v>2026</c:v>
                </c:pt>
                <c:pt idx="6">
                  <c:v>2027</c:v>
                </c:pt>
              </c:numCache>
            </c:numRef>
          </c:cat>
          <c:val>
            <c:numRef>
              <c:f>Sheet1!$B$8:$H$8</c:f>
              <c:numCache>
                <c:formatCode>0.0</c:formatCode>
                <c:ptCount val="7"/>
                <c:pt idx="0">
                  <c:v>0</c:v>
                </c:pt>
                <c:pt idx="1">
                  <c:v>7.5933333333333328</c:v>
                </c:pt>
                <c:pt idx="2">
                  <c:v>15.186666666666666</c:v>
                </c:pt>
                <c:pt idx="3">
                  <c:v>22.779999999999998</c:v>
                </c:pt>
                <c:pt idx="4">
                  <c:v>30.373333333333331</c:v>
                </c:pt>
                <c:pt idx="5">
                  <c:v>37.966666666666661</c:v>
                </c:pt>
                <c:pt idx="6">
                  <c:v>45.559999999999995</c:v>
                </c:pt>
              </c:numCache>
            </c:numRef>
          </c:val>
        </c:ser>
        <c:dLbls>
          <c:showLegendKey val="0"/>
          <c:showVal val="0"/>
          <c:showCatName val="0"/>
          <c:showSerName val="0"/>
          <c:showPercent val="0"/>
          <c:showBubbleSize val="0"/>
        </c:dLbls>
        <c:gapWidth val="0"/>
        <c:overlap val="100"/>
        <c:axId val="412635968"/>
        <c:axId val="412627344"/>
      </c:barChart>
      <c:catAx>
        <c:axId val="41263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27344"/>
        <c:crosses val="autoZero"/>
        <c:auto val="1"/>
        <c:lblAlgn val="ctr"/>
        <c:lblOffset val="100"/>
        <c:noMultiLvlLbl val="0"/>
      </c:catAx>
      <c:valAx>
        <c:axId val="41262734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412635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A01B-CF14-4754-96A8-7D2C4F1F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8311</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Berķis</dc:creator>
  <cp:keywords/>
  <dc:description/>
  <cp:lastModifiedBy>Jānis Paiders</cp:lastModifiedBy>
  <cp:revision>3</cp:revision>
  <dcterms:created xsi:type="dcterms:W3CDTF">2021-08-24T08:18:00Z</dcterms:created>
  <dcterms:modified xsi:type="dcterms:W3CDTF">2021-08-24T11:08:00Z</dcterms:modified>
</cp:coreProperties>
</file>