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086A" w14:textId="7B519FEE" w:rsidR="00A7036E" w:rsidRPr="006874F5" w:rsidRDefault="00A7036E" w:rsidP="006874F5">
      <w:pPr>
        <w:spacing w:line="276" w:lineRule="auto"/>
        <w:contextualSpacing/>
        <w:jc w:val="center"/>
        <w:rPr>
          <w:rFonts w:eastAsiaTheme="minorHAnsi"/>
          <w:b/>
          <w:lang w:eastAsia="en-US"/>
        </w:rPr>
      </w:pPr>
      <w:r w:rsidRPr="006874F5">
        <w:rPr>
          <w:rFonts w:eastAsiaTheme="minorHAnsi"/>
          <w:b/>
          <w:lang w:eastAsia="en-US"/>
        </w:rPr>
        <w:t>TEHNISKAIS UN FINANŠU PIEDĀVĀJUMS</w:t>
      </w:r>
    </w:p>
    <w:p w14:paraId="05716FB1" w14:textId="77777777" w:rsidR="00C45780" w:rsidRPr="006874F5" w:rsidRDefault="00C45780" w:rsidP="006874F5">
      <w:pPr>
        <w:spacing w:line="276" w:lineRule="auto"/>
        <w:contextualSpacing/>
        <w:jc w:val="center"/>
        <w:rPr>
          <w:rFonts w:eastAsiaTheme="minorHAnsi"/>
          <w:b/>
          <w:lang w:eastAsia="en-US"/>
        </w:rPr>
      </w:pPr>
    </w:p>
    <w:p w14:paraId="5CAA9CC7" w14:textId="18924571" w:rsidR="00A7036E" w:rsidRPr="006874F5" w:rsidRDefault="00A7036E" w:rsidP="006874F5">
      <w:pPr>
        <w:spacing w:line="276" w:lineRule="auto"/>
        <w:contextualSpacing/>
        <w:jc w:val="center"/>
        <w:rPr>
          <w:rFonts w:eastAsiaTheme="minorHAnsi"/>
          <w:lang w:eastAsia="en-US"/>
        </w:rPr>
      </w:pPr>
      <w:r w:rsidRPr="006874F5">
        <w:rPr>
          <w:rFonts w:eastAsiaTheme="minorHAnsi"/>
          <w:lang w:eastAsia="en-US"/>
        </w:rPr>
        <w:t>Izglītības uz zinātnes ministrijas organizētajā cenu aptaujā</w:t>
      </w:r>
    </w:p>
    <w:p w14:paraId="3E7EBE04" w14:textId="77777777" w:rsidR="00FD4121" w:rsidRPr="006874F5" w:rsidRDefault="00FD4121" w:rsidP="006874F5">
      <w:pPr>
        <w:spacing w:line="276" w:lineRule="auto"/>
        <w:contextualSpacing/>
        <w:jc w:val="center"/>
        <w:rPr>
          <w:rFonts w:eastAsiaTheme="minorHAnsi"/>
          <w:lang w:eastAsia="en-US"/>
        </w:rPr>
      </w:pPr>
    </w:p>
    <w:p w14:paraId="06B7F4E1" w14:textId="77777777" w:rsidR="00FD4121" w:rsidRPr="00FD4121" w:rsidRDefault="00FD4121" w:rsidP="006874F5">
      <w:pPr>
        <w:spacing w:line="276" w:lineRule="auto"/>
        <w:jc w:val="center"/>
        <w:rPr>
          <w:rFonts w:eastAsiaTheme="minorHAnsi"/>
          <w:b/>
          <w:lang w:eastAsia="en-US"/>
        </w:rPr>
      </w:pPr>
      <w:bookmarkStart w:id="0" w:name="_Hlk59186522"/>
      <w:r w:rsidRPr="00FD4121">
        <w:rPr>
          <w:rFonts w:eastAsiaTheme="minorHAnsi"/>
          <w:b/>
          <w:lang w:eastAsia="en-US"/>
        </w:rPr>
        <w:t xml:space="preserve">Izglītības un zinātnes ministrijas ēkas Rīgā, Vaļņu ielā 2 evakuācijas ceļos esošo durvju aprīkošanai ar durvju </w:t>
      </w:r>
      <w:proofErr w:type="spellStart"/>
      <w:r w:rsidRPr="00FD4121">
        <w:rPr>
          <w:rFonts w:eastAsiaTheme="minorHAnsi"/>
          <w:b/>
          <w:lang w:eastAsia="en-US"/>
        </w:rPr>
        <w:t>pašaizveres</w:t>
      </w:r>
      <w:proofErr w:type="spellEnd"/>
      <w:r w:rsidRPr="00FD4121">
        <w:rPr>
          <w:rFonts w:eastAsiaTheme="minorHAnsi"/>
          <w:b/>
          <w:lang w:eastAsia="en-US"/>
        </w:rPr>
        <w:t xml:space="preserve"> mehānismiem</w:t>
      </w:r>
    </w:p>
    <w:p w14:paraId="68E35398" w14:textId="77777777" w:rsidR="00C45780" w:rsidRPr="006874F5" w:rsidRDefault="00C45780" w:rsidP="006874F5">
      <w:pPr>
        <w:spacing w:line="276" w:lineRule="auto"/>
        <w:jc w:val="center"/>
        <w:rPr>
          <w:b/>
        </w:rPr>
      </w:pPr>
    </w:p>
    <w:bookmarkEnd w:id="0"/>
    <w:p w14:paraId="4A2754DC" w14:textId="77777777" w:rsidR="00A7036E" w:rsidRPr="006874F5" w:rsidRDefault="00A7036E" w:rsidP="006874F5">
      <w:pPr>
        <w:tabs>
          <w:tab w:val="left" w:pos="480"/>
        </w:tabs>
        <w:spacing w:before="120" w:after="120" w:line="276" w:lineRule="auto"/>
        <w:jc w:val="both"/>
      </w:pPr>
      <w:r w:rsidRPr="006874F5">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87"/>
      </w:tblGrid>
      <w:tr w:rsidR="00A7036E" w:rsidRPr="006874F5" w14:paraId="0B58FF3B" w14:textId="77777777" w:rsidTr="00FC14A3">
        <w:tc>
          <w:tcPr>
            <w:tcW w:w="3227" w:type="dxa"/>
            <w:shd w:val="clear" w:color="auto" w:fill="auto"/>
          </w:tcPr>
          <w:p w14:paraId="61EF522A" w14:textId="77777777" w:rsidR="00A7036E" w:rsidRPr="006874F5" w:rsidRDefault="00A7036E" w:rsidP="006874F5">
            <w:pPr>
              <w:tabs>
                <w:tab w:val="left" w:pos="480"/>
              </w:tabs>
              <w:spacing w:before="120" w:after="120" w:line="276" w:lineRule="auto"/>
              <w:jc w:val="both"/>
              <w:rPr>
                <w:bCs/>
              </w:rPr>
            </w:pPr>
            <w:r w:rsidRPr="006874F5">
              <w:rPr>
                <w:bCs/>
              </w:rPr>
              <w:t>Pretendenta nosaukums:</w:t>
            </w:r>
          </w:p>
        </w:tc>
        <w:tc>
          <w:tcPr>
            <w:tcW w:w="6060" w:type="dxa"/>
            <w:shd w:val="clear" w:color="auto" w:fill="auto"/>
          </w:tcPr>
          <w:p w14:paraId="352FF1B8" w14:textId="77777777" w:rsidR="00A7036E" w:rsidRPr="006874F5" w:rsidRDefault="00A7036E" w:rsidP="006874F5">
            <w:pPr>
              <w:tabs>
                <w:tab w:val="left" w:pos="480"/>
              </w:tabs>
              <w:spacing w:before="120" w:after="120" w:line="276" w:lineRule="auto"/>
              <w:jc w:val="both"/>
              <w:rPr>
                <w:bCs/>
              </w:rPr>
            </w:pPr>
          </w:p>
        </w:tc>
      </w:tr>
      <w:tr w:rsidR="00A7036E" w:rsidRPr="006874F5" w14:paraId="0547031A" w14:textId="77777777" w:rsidTr="00FC14A3">
        <w:tc>
          <w:tcPr>
            <w:tcW w:w="3227" w:type="dxa"/>
            <w:shd w:val="clear" w:color="auto" w:fill="auto"/>
          </w:tcPr>
          <w:p w14:paraId="704436AC" w14:textId="77777777" w:rsidR="00A7036E" w:rsidRPr="006874F5" w:rsidRDefault="00A7036E" w:rsidP="006874F5">
            <w:pPr>
              <w:tabs>
                <w:tab w:val="left" w:pos="480"/>
              </w:tabs>
              <w:spacing w:before="120" w:after="120" w:line="276" w:lineRule="auto"/>
              <w:jc w:val="both"/>
              <w:rPr>
                <w:bCs/>
              </w:rPr>
            </w:pPr>
            <w:r w:rsidRPr="006874F5">
              <w:rPr>
                <w:bCs/>
              </w:rPr>
              <w:t>Reģistrācijas nr.:</w:t>
            </w:r>
          </w:p>
        </w:tc>
        <w:tc>
          <w:tcPr>
            <w:tcW w:w="6060" w:type="dxa"/>
            <w:shd w:val="clear" w:color="auto" w:fill="auto"/>
          </w:tcPr>
          <w:p w14:paraId="03F26630" w14:textId="77777777" w:rsidR="00A7036E" w:rsidRPr="006874F5" w:rsidRDefault="00A7036E" w:rsidP="006874F5">
            <w:pPr>
              <w:tabs>
                <w:tab w:val="left" w:pos="480"/>
              </w:tabs>
              <w:spacing w:before="120" w:after="120" w:line="276" w:lineRule="auto"/>
              <w:jc w:val="both"/>
              <w:rPr>
                <w:bCs/>
              </w:rPr>
            </w:pPr>
          </w:p>
        </w:tc>
      </w:tr>
      <w:tr w:rsidR="00A7036E" w:rsidRPr="006874F5" w14:paraId="559875F8" w14:textId="77777777" w:rsidTr="00FC14A3">
        <w:tc>
          <w:tcPr>
            <w:tcW w:w="3227" w:type="dxa"/>
            <w:shd w:val="clear" w:color="auto" w:fill="auto"/>
          </w:tcPr>
          <w:p w14:paraId="104EB0C0" w14:textId="77777777" w:rsidR="00A7036E" w:rsidRPr="006874F5" w:rsidRDefault="00A7036E" w:rsidP="006874F5">
            <w:pPr>
              <w:tabs>
                <w:tab w:val="left" w:pos="480"/>
              </w:tabs>
              <w:spacing w:before="120" w:after="120" w:line="276" w:lineRule="auto"/>
              <w:jc w:val="both"/>
              <w:rPr>
                <w:bCs/>
              </w:rPr>
            </w:pPr>
            <w:r w:rsidRPr="006874F5">
              <w:rPr>
                <w:bCs/>
              </w:rPr>
              <w:t>Juridiskā adrese:</w:t>
            </w:r>
          </w:p>
        </w:tc>
        <w:tc>
          <w:tcPr>
            <w:tcW w:w="6060" w:type="dxa"/>
            <w:shd w:val="clear" w:color="auto" w:fill="auto"/>
          </w:tcPr>
          <w:p w14:paraId="35DF60FC" w14:textId="77777777" w:rsidR="00A7036E" w:rsidRPr="006874F5" w:rsidRDefault="00A7036E" w:rsidP="006874F5">
            <w:pPr>
              <w:tabs>
                <w:tab w:val="left" w:pos="480"/>
              </w:tabs>
              <w:spacing w:before="120" w:after="120" w:line="276" w:lineRule="auto"/>
              <w:jc w:val="both"/>
              <w:rPr>
                <w:bCs/>
              </w:rPr>
            </w:pPr>
          </w:p>
        </w:tc>
      </w:tr>
      <w:tr w:rsidR="00A7036E" w:rsidRPr="006874F5" w14:paraId="5A330275" w14:textId="77777777" w:rsidTr="00FC14A3">
        <w:tc>
          <w:tcPr>
            <w:tcW w:w="3227" w:type="dxa"/>
            <w:shd w:val="clear" w:color="auto" w:fill="auto"/>
          </w:tcPr>
          <w:p w14:paraId="54F27D70" w14:textId="77777777" w:rsidR="00A7036E" w:rsidRPr="006874F5" w:rsidRDefault="00A7036E" w:rsidP="006874F5">
            <w:pPr>
              <w:tabs>
                <w:tab w:val="left" w:pos="480"/>
              </w:tabs>
              <w:spacing w:before="120" w:after="120" w:line="276" w:lineRule="auto"/>
              <w:jc w:val="both"/>
              <w:rPr>
                <w:bCs/>
              </w:rPr>
            </w:pPr>
            <w:r w:rsidRPr="006874F5">
              <w:rPr>
                <w:bCs/>
              </w:rPr>
              <w:t>Faktiskā adrese:</w:t>
            </w:r>
          </w:p>
        </w:tc>
        <w:tc>
          <w:tcPr>
            <w:tcW w:w="6060" w:type="dxa"/>
            <w:shd w:val="clear" w:color="auto" w:fill="auto"/>
          </w:tcPr>
          <w:p w14:paraId="75C3236D" w14:textId="77777777" w:rsidR="00A7036E" w:rsidRPr="006874F5" w:rsidRDefault="00A7036E" w:rsidP="006874F5">
            <w:pPr>
              <w:tabs>
                <w:tab w:val="left" w:pos="480"/>
              </w:tabs>
              <w:spacing w:before="120" w:after="120" w:line="276" w:lineRule="auto"/>
              <w:jc w:val="both"/>
              <w:rPr>
                <w:bCs/>
              </w:rPr>
            </w:pPr>
          </w:p>
        </w:tc>
      </w:tr>
      <w:tr w:rsidR="00A7036E" w:rsidRPr="006874F5" w14:paraId="4B46D183" w14:textId="77777777" w:rsidTr="00FC14A3">
        <w:tc>
          <w:tcPr>
            <w:tcW w:w="3227" w:type="dxa"/>
            <w:shd w:val="clear" w:color="auto" w:fill="auto"/>
          </w:tcPr>
          <w:p w14:paraId="71F23810" w14:textId="77777777" w:rsidR="00A7036E" w:rsidRPr="006874F5" w:rsidRDefault="00A7036E" w:rsidP="006874F5">
            <w:pPr>
              <w:tabs>
                <w:tab w:val="left" w:pos="480"/>
              </w:tabs>
              <w:spacing w:before="120" w:after="120" w:line="276" w:lineRule="auto"/>
              <w:jc w:val="both"/>
              <w:rPr>
                <w:bCs/>
              </w:rPr>
            </w:pPr>
            <w:r w:rsidRPr="006874F5">
              <w:rPr>
                <w:bCs/>
              </w:rPr>
              <w:t>e-pasta adrese:</w:t>
            </w:r>
          </w:p>
        </w:tc>
        <w:tc>
          <w:tcPr>
            <w:tcW w:w="6060" w:type="dxa"/>
            <w:shd w:val="clear" w:color="auto" w:fill="auto"/>
          </w:tcPr>
          <w:p w14:paraId="745DBDCA" w14:textId="77777777" w:rsidR="00A7036E" w:rsidRPr="006874F5" w:rsidRDefault="00A7036E" w:rsidP="006874F5">
            <w:pPr>
              <w:tabs>
                <w:tab w:val="left" w:pos="480"/>
              </w:tabs>
              <w:spacing w:before="120" w:after="120" w:line="276" w:lineRule="auto"/>
              <w:jc w:val="both"/>
              <w:rPr>
                <w:bCs/>
              </w:rPr>
            </w:pPr>
          </w:p>
        </w:tc>
      </w:tr>
      <w:tr w:rsidR="004C5DBF" w:rsidRPr="006874F5" w14:paraId="0A159797" w14:textId="77777777" w:rsidTr="00FC14A3">
        <w:tc>
          <w:tcPr>
            <w:tcW w:w="3227" w:type="dxa"/>
            <w:shd w:val="clear" w:color="auto" w:fill="auto"/>
          </w:tcPr>
          <w:p w14:paraId="218B500F" w14:textId="4C650A11" w:rsidR="004C5DBF" w:rsidRPr="006874F5" w:rsidRDefault="004C5DBF" w:rsidP="006874F5">
            <w:pPr>
              <w:tabs>
                <w:tab w:val="left" w:pos="480"/>
              </w:tabs>
              <w:spacing w:before="120" w:after="120" w:line="276" w:lineRule="auto"/>
              <w:jc w:val="both"/>
              <w:rPr>
                <w:bCs/>
              </w:rPr>
            </w:pPr>
            <w:r w:rsidRPr="006874F5">
              <w:rPr>
                <w:bCs/>
              </w:rPr>
              <w:t>Interneta adrese:</w:t>
            </w:r>
          </w:p>
        </w:tc>
        <w:tc>
          <w:tcPr>
            <w:tcW w:w="6060" w:type="dxa"/>
            <w:shd w:val="clear" w:color="auto" w:fill="auto"/>
          </w:tcPr>
          <w:p w14:paraId="788B10EF" w14:textId="77777777" w:rsidR="004C5DBF" w:rsidRPr="006874F5" w:rsidRDefault="004C5DBF" w:rsidP="006874F5">
            <w:pPr>
              <w:tabs>
                <w:tab w:val="left" w:pos="480"/>
              </w:tabs>
              <w:spacing w:before="120" w:after="120" w:line="276" w:lineRule="auto"/>
              <w:jc w:val="both"/>
              <w:rPr>
                <w:bCs/>
              </w:rPr>
            </w:pPr>
          </w:p>
        </w:tc>
      </w:tr>
      <w:tr w:rsidR="00A7036E" w:rsidRPr="006874F5" w14:paraId="5533EFE5" w14:textId="77777777" w:rsidTr="00FC14A3">
        <w:tc>
          <w:tcPr>
            <w:tcW w:w="3227" w:type="dxa"/>
            <w:shd w:val="clear" w:color="auto" w:fill="auto"/>
          </w:tcPr>
          <w:p w14:paraId="76E0746A" w14:textId="77777777" w:rsidR="00A7036E" w:rsidRPr="006874F5" w:rsidRDefault="00A7036E" w:rsidP="006874F5">
            <w:pPr>
              <w:tabs>
                <w:tab w:val="left" w:pos="480"/>
              </w:tabs>
              <w:spacing w:before="120" w:after="120" w:line="276" w:lineRule="auto"/>
              <w:jc w:val="both"/>
              <w:rPr>
                <w:bCs/>
              </w:rPr>
            </w:pPr>
            <w:r w:rsidRPr="006874F5">
              <w:rPr>
                <w:bCs/>
              </w:rPr>
              <w:t xml:space="preserve">Tālr. </w:t>
            </w:r>
          </w:p>
        </w:tc>
        <w:tc>
          <w:tcPr>
            <w:tcW w:w="6060" w:type="dxa"/>
            <w:shd w:val="clear" w:color="auto" w:fill="auto"/>
          </w:tcPr>
          <w:p w14:paraId="1BDF00F1" w14:textId="77777777" w:rsidR="00A7036E" w:rsidRPr="006874F5" w:rsidRDefault="00A7036E" w:rsidP="006874F5">
            <w:pPr>
              <w:tabs>
                <w:tab w:val="left" w:pos="480"/>
              </w:tabs>
              <w:spacing w:before="120" w:after="120" w:line="276" w:lineRule="auto"/>
              <w:jc w:val="both"/>
              <w:rPr>
                <w:bCs/>
              </w:rPr>
            </w:pPr>
          </w:p>
        </w:tc>
      </w:tr>
      <w:tr w:rsidR="00A7036E" w:rsidRPr="006874F5" w14:paraId="6713DC46" w14:textId="77777777" w:rsidTr="00FC14A3">
        <w:tc>
          <w:tcPr>
            <w:tcW w:w="3227" w:type="dxa"/>
            <w:shd w:val="clear" w:color="auto" w:fill="auto"/>
          </w:tcPr>
          <w:p w14:paraId="448715EF" w14:textId="77777777" w:rsidR="00A7036E" w:rsidRPr="006874F5" w:rsidRDefault="00A7036E" w:rsidP="006874F5">
            <w:pPr>
              <w:tabs>
                <w:tab w:val="left" w:pos="480"/>
              </w:tabs>
              <w:spacing w:before="120" w:after="120" w:line="276" w:lineRule="auto"/>
              <w:jc w:val="both"/>
              <w:rPr>
                <w:bCs/>
              </w:rPr>
            </w:pPr>
            <w:r w:rsidRPr="006874F5">
              <w:t xml:space="preserve">Banka, Kods, Konts: </w:t>
            </w:r>
          </w:p>
        </w:tc>
        <w:tc>
          <w:tcPr>
            <w:tcW w:w="6060" w:type="dxa"/>
            <w:shd w:val="clear" w:color="auto" w:fill="auto"/>
          </w:tcPr>
          <w:p w14:paraId="0D614154" w14:textId="77777777" w:rsidR="00A7036E" w:rsidRPr="006874F5" w:rsidRDefault="00A7036E" w:rsidP="006874F5">
            <w:pPr>
              <w:tabs>
                <w:tab w:val="left" w:pos="480"/>
              </w:tabs>
              <w:spacing w:before="120" w:after="120" w:line="276" w:lineRule="auto"/>
              <w:jc w:val="both"/>
              <w:rPr>
                <w:bCs/>
              </w:rPr>
            </w:pPr>
          </w:p>
        </w:tc>
      </w:tr>
    </w:tbl>
    <w:p w14:paraId="7FF6626F" w14:textId="77777777" w:rsidR="00A7036E" w:rsidRPr="006874F5" w:rsidRDefault="00A7036E" w:rsidP="006874F5">
      <w:pPr>
        <w:spacing w:after="120" w:line="276" w:lineRule="auto"/>
        <w:jc w:val="both"/>
        <w:rPr>
          <w:rFonts w:eastAsiaTheme="minorHAnsi"/>
          <w:lang w:eastAsia="en-US"/>
        </w:rPr>
      </w:pPr>
    </w:p>
    <w:p w14:paraId="2A2B49F1" w14:textId="77777777" w:rsidR="00A7036E" w:rsidRPr="006874F5" w:rsidRDefault="00A7036E" w:rsidP="006874F5">
      <w:pPr>
        <w:keepNext/>
        <w:tabs>
          <w:tab w:val="left" w:pos="480"/>
        </w:tabs>
        <w:spacing w:after="160" w:line="276" w:lineRule="auto"/>
        <w:jc w:val="both"/>
        <w:outlineLvl w:val="0"/>
        <w:rPr>
          <w:rFonts w:eastAsiaTheme="minorHAnsi"/>
          <w:lang w:eastAsia="en-US"/>
        </w:rPr>
      </w:pPr>
      <w:r w:rsidRPr="006874F5">
        <w:rPr>
          <w:rFonts w:eastAsiaTheme="minorHAnsi"/>
          <w:lang w:eastAsia="en-US"/>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A7036E" w:rsidRPr="006874F5" w14:paraId="527CCA50" w14:textId="77777777" w:rsidTr="00A70EA4">
        <w:tc>
          <w:tcPr>
            <w:tcW w:w="2990" w:type="dxa"/>
            <w:shd w:val="clear" w:color="auto" w:fill="auto"/>
          </w:tcPr>
          <w:p w14:paraId="59C061B7" w14:textId="77777777" w:rsidR="00A7036E" w:rsidRPr="006874F5" w:rsidRDefault="00A7036E" w:rsidP="006874F5">
            <w:pPr>
              <w:spacing w:before="120" w:after="120" w:line="276" w:lineRule="auto"/>
              <w:rPr>
                <w:rFonts w:eastAsiaTheme="minorHAnsi"/>
                <w:lang w:eastAsia="en-US"/>
              </w:rPr>
            </w:pPr>
            <w:r w:rsidRPr="006874F5">
              <w:rPr>
                <w:rFonts w:eastAsiaTheme="minorHAnsi"/>
                <w:lang w:eastAsia="en-US"/>
              </w:rPr>
              <w:t>Vārds, uzvārds:</w:t>
            </w:r>
          </w:p>
        </w:tc>
        <w:tc>
          <w:tcPr>
            <w:tcW w:w="6077" w:type="dxa"/>
            <w:shd w:val="clear" w:color="auto" w:fill="auto"/>
          </w:tcPr>
          <w:p w14:paraId="4471880A" w14:textId="77777777" w:rsidR="00A7036E" w:rsidRPr="006874F5" w:rsidRDefault="00A7036E" w:rsidP="006874F5">
            <w:pPr>
              <w:spacing w:before="120" w:after="120" w:line="276" w:lineRule="auto"/>
              <w:rPr>
                <w:rFonts w:eastAsiaTheme="minorHAnsi"/>
                <w:lang w:eastAsia="en-US"/>
              </w:rPr>
            </w:pPr>
          </w:p>
        </w:tc>
      </w:tr>
      <w:tr w:rsidR="00A7036E" w:rsidRPr="006874F5" w14:paraId="11AB82E5" w14:textId="77777777" w:rsidTr="00A70EA4">
        <w:tc>
          <w:tcPr>
            <w:tcW w:w="2990" w:type="dxa"/>
            <w:shd w:val="clear" w:color="auto" w:fill="auto"/>
          </w:tcPr>
          <w:p w14:paraId="186A415F" w14:textId="77777777" w:rsidR="00A7036E" w:rsidRPr="006874F5" w:rsidRDefault="00A7036E" w:rsidP="006874F5">
            <w:pPr>
              <w:spacing w:before="120" w:after="120" w:line="276" w:lineRule="auto"/>
              <w:rPr>
                <w:rFonts w:eastAsiaTheme="minorHAnsi"/>
                <w:lang w:eastAsia="en-US"/>
              </w:rPr>
            </w:pPr>
            <w:r w:rsidRPr="006874F5">
              <w:rPr>
                <w:rFonts w:eastAsiaTheme="minorHAnsi"/>
                <w:lang w:eastAsia="en-US"/>
              </w:rPr>
              <w:t>Ieņemamais amats:</w:t>
            </w:r>
          </w:p>
        </w:tc>
        <w:tc>
          <w:tcPr>
            <w:tcW w:w="6077" w:type="dxa"/>
            <w:shd w:val="clear" w:color="auto" w:fill="auto"/>
          </w:tcPr>
          <w:p w14:paraId="3F5A98FA" w14:textId="77777777" w:rsidR="00A7036E" w:rsidRPr="006874F5" w:rsidRDefault="00A7036E" w:rsidP="006874F5">
            <w:pPr>
              <w:spacing w:before="120" w:after="120" w:line="276" w:lineRule="auto"/>
              <w:rPr>
                <w:rFonts w:eastAsiaTheme="minorHAnsi"/>
                <w:lang w:eastAsia="en-US"/>
              </w:rPr>
            </w:pPr>
          </w:p>
        </w:tc>
      </w:tr>
      <w:tr w:rsidR="00A7036E" w:rsidRPr="006874F5" w14:paraId="42A1CF4A" w14:textId="77777777" w:rsidTr="00A70EA4">
        <w:tc>
          <w:tcPr>
            <w:tcW w:w="2990" w:type="dxa"/>
            <w:shd w:val="clear" w:color="auto" w:fill="auto"/>
          </w:tcPr>
          <w:p w14:paraId="7BC93705" w14:textId="77777777" w:rsidR="00A7036E" w:rsidRPr="006874F5" w:rsidRDefault="00A7036E" w:rsidP="006874F5">
            <w:pPr>
              <w:spacing w:before="120" w:after="120" w:line="276" w:lineRule="auto"/>
              <w:rPr>
                <w:rFonts w:eastAsiaTheme="minorHAnsi"/>
                <w:lang w:eastAsia="en-US"/>
              </w:rPr>
            </w:pPr>
            <w:r w:rsidRPr="006874F5">
              <w:rPr>
                <w:rFonts w:eastAsiaTheme="minorHAnsi"/>
                <w:lang w:eastAsia="en-US"/>
              </w:rPr>
              <w:t>Tālr.</w:t>
            </w:r>
          </w:p>
        </w:tc>
        <w:tc>
          <w:tcPr>
            <w:tcW w:w="6077" w:type="dxa"/>
            <w:shd w:val="clear" w:color="auto" w:fill="auto"/>
          </w:tcPr>
          <w:p w14:paraId="7150C4FB" w14:textId="77777777" w:rsidR="00A7036E" w:rsidRPr="006874F5" w:rsidRDefault="00A7036E" w:rsidP="006874F5">
            <w:pPr>
              <w:spacing w:before="120" w:after="120" w:line="276" w:lineRule="auto"/>
              <w:rPr>
                <w:rFonts w:eastAsiaTheme="minorHAnsi"/>
                <w:lang w:eastAsia="en-US"/>
              </w:rPr>
            </w:pPr>
          </w:p>
        </w:tc>
      </w:tr>
      <w:tr w:rsidR="00A7036E" w:rsidRPr="006874F5" w14:paraId="59724EBF" w14:textId="77777777" w:rsidTr="00A70EA4">
        <w:tc>
          <w:tcPr>
            <w:tcW w:w="2990" w:type="dxa"/>
            <w:shd w:val="clear" w:color="auto" w:fill="auto"/>
          </w:tcPr>
          <w:p w14:paraId="549A1855" w14:textId="77777777" w:rsidR="00A7036E" w:rsidRPr="006874F5" w:rsidRDefault="00A7036E" w:rsidP="006874F5">
            <w:pPr>
              <w:spacing w:before="120" w:after="120" w:line="276" w:lineRule="auto"/>
              <w:rPr>
                <w:rFonts w:eastAsiaTheme="minorHAnsi"/>
                <w:lang w:eastAsia="en-US"/>
              </w:rPr>
            </w:pPr>
            <w:r w:rsidRPr="006874F5">
              <w:rPr>
                <w:rFonts w:eastAsiaTheme="minorHAnsi"/>
                <w:bCs/>
                <w:lang w:eastAsia="en-US"/>
              </w:rPr>
              <w:t>e-pasta adrese:</w:t>
            </w:r>
          </w:p>
        </w:tc>
        <w:tc>
          <w:tcPr>
            <w:tcW w:w="6077" w:type="dxa"/>
            <w:shd w:val="clear" w:color="auto" w:fill="auto"/>
          </w:tcPr>
          <w:p w14:paraId="36A4558A" w14:textId="77777777" w:rsidR="00A7036E" w:rsidRPr="006874F5" w:rsidRDefault="00A7036E" w:rsidP="006874F5">
            <w:pPr>
              <w:spacing w:before="120" w:after="120" w:line="276" w:lineRule="auto"/>
              <w:rPr>
                <w:rFonts w:eastAsiaTheme="minorHAnsi"/>
                <w:lang w:eastAsia="en-US"/>
              </w:rPr>
            </w:pPr>
          </w:p>
        </w:tc>
      </w:tr>
    </w:tbl>
    <w:p w14:paraId="1143D765" w14:textId="77777777" w:rsidR="005C2B92" w:rsidRPr="006874F5" w:rsidRDefault="005C2B92" w:rsidP="006874F5">
      <w:pPr>
        <w:spacing w:line="276" w:lineRule="auto"/>
        <w:rPr>
          <w:b/>
          <w:bCs/>
          <w:caps/>
        </w:rPr>
      </w:pPr>
    </w:p>
    <w:p w14:paraId="3F9A8AFE" w14:textId="77777777" w:rsidR="00C45780" w:rsidRPr="006874F5" w:rsidRDefault="00C45780" w:rsidP="006874F5">
      <w:pPr>
        <w:spacing w:line="276" w:lineRule="auto"/>
        <w:jc w:val="center"/>
        <w:rPr>
          <w:b/>
          <w:bCs/>
          <w:caps/>
        </w:rPr>
      </w:pPr>
    </w:p>
    <w:p w14:paraId="08FA8C6B" w14:textId="77777777" w:rsidR="00C45780" w:rsidRPr="006874F5" w:rsidRDefault="00C45780" w:rsidP="006874F5">
      <w:pPr>
        <w:spacing w:line="276" w:lineRule="auto"/>
        <w:jc w:val="center"/>
        <w:rPr>
          <w:b/>
          <w:bCs/>
          <w:caps/>
        </w:rPr>
      </w:pPr>
    </w:p>
    <w:p w14:paraId="335B166F" w14:textId="77777777" w:rsidR="00C45780" w:rsidRPr="006874F5" w:rsidRDefault="00C45780" w:rsidP="006874F5">
      <w:pPr>
        <w:spacing w:line="276" w:lineRule="auto"/>
        <w:jc w:val="center"/>
        <w:rPr>
          <w:b/>
          <w:bCs/>
          <w:caps/>
        </w:rPr>
      </w:pPr>
    </w:p>
    <w:p w14:paraId="512CEC58" w14:textId="77777777" w:rsidR="00C45780" w:rsidRPr="006874F5" w:rsidRDefault="00C45780" w:rsidP="006874F5">
      <w:pPr>
        <w:spacing w:line="276" w:lineRule="auto"/>
        <w:jc w:val="center"/>
        <w:rPr>
          <w:b/>
          <w:bCs/>
          <w:caps/>
        </w:rPr>
      </w:pPr>
    </w:p>
    <w:p w14:paraId="4A8CB27A" w14:textId="77777777" w:rsidR="00C45780" w:rsidRPr="006874F5" w:rsidRDefault="00C45780" w:rsidP="006874F5">
      <w:pPr>
        <w:spacing w:line="276" w:lineRule="auto"/>
        <w:jc w:val="center"/>
        <w:rPr>
          <w:b/>
          <w:bCs/>
          <w:caps/>
        </w:rPr>
      </w:pPr>
    </w:p>
    <w:p w14:paraId="49252004" w14:textId="77777777" w:rsidR="00C45780" w:rsidRPr="006874F5" w:rsidRDefault="00C45780" w:rsidP="006874F5">
      <w:pPr>
        <w:spacing w:line="276" w:lineRule="auto"/>
        <w:jc w:val="center"/>
        <w:rPr>
          <w:b/>
          <w:bCs/>
          <w:caps/>
        </w:rPr>
      </w:pPr>
    </w:p>
    <w:p w14:paraId="25BEAB51" w14:textId="77777777" w:rsidR="00C45780" w:rsidRPr="006874F5" w:rsidRDefault="00C45780" w:rsidP="006874F5">
      <w:pPr>
        <w:spacing w:line="276" w:lineRule="auto"/>
        <w:jc w:val="center"/>
        <w:rPr>
          <w:b/>
          <w:bCs/>
          <w:caps/>
        </w:rPr>
      </w:pPr>
    </w:p>
    <w:p w14:paraId="1FF4E4B2" w14:textId="77777777" w:rsidR="00C45780" w:rsidRPr="006874F5" w:rsidRDefault="00C45780" w:rsidP="006874F5">
      <w:pPr>
        <w:spacing w:line="276" w:lineRule="auto"/>
        <w:jc w:val="center"/>
        <w:rPr>
          <w:b/>
          <w:bCs/>
          <w:caps/>
        </w:rPr>
      </w:pPr>
    </w:p>
    <w:p w14:paraId="50D653C4" w14:textId="77777777" w:rsidR="00C45780" w:rsidRPr="006874F5" w:rsidRDefault="00C45780" w:rsidP="006874F5">
      <w:pPr>
        <w:spacing w:line="276" w:lineRule="auto"/>
        <w:jc w:val="center"/>
        <w:rPr>
          <w:b/>
          <w:bCs/>
          <w:caps/>
        </w:rPr>
      </w:pPr>
    </w:p>
    <w:p w14:paraId="63880A34" w14:textId="77777777" w:rsidR="00C45780" w:rsidRPr="006874F5" w:rsidRDefault="00C45780" w:rsidP="006874F5">
      <w:pPr>
        <w:spacing w:line="276" w:lineRule="auto"/>
        <w:jc w:val="center"/>
        <w:rPr>
          <w:b/>
          <w:bCs/>
          <w:caps/>
        </w:rPr>
      </w:pPr>
    </w:p>
    <w:p w14:paraId="0B0DC0A8" w14:textId="6BC7CE97" w:rsidR="00A11A86" w:rsidRPr="006874F5" w:rsidRDefault="00A11A86" w:rsidP="006874F5">
      <w:pPr>
        <w:spacing w:line="276" w:lineRule="auto"/>
        <w:jc w:val="center"/>
        <w:rPr>
          <w:b/>
        </w:rPr>
      </w:pPr>
      <w:r w:rsidRPr="006874F5">
        <w:rPr>
          <w:b/>
        </w:rPr>
        <w:lastRenderedPageBreak/>
        <w:t>TEHNISKĀ SPECIFIKĀCIJA</w:t>
      </w:r>
    </w:p>
    <w:p w14:paraId="2D7C0A73" w14:textId="2AD2F8B5" w:rsidR="00D62F5A" w:rsidRPr="00D62F5A" w:rsidRDefault="00FD4121" w:rsidP="006874F5">
      <w:pPr>
        <w:spacing w:line="276" w:lineRule="auto"/>
        <w:jc w:val="center"/>
        <w:rPr>
          <w:rFonts w:eastAsiaTheme="minorHAnsi"/>
          <w:b/>
          <w:lang w:eastAsia="en-US"/>
        </w:rPr>
      </w:pPr>
      <w:r w:rsidRPr="00FD4121">
        <w:rPr>
          <w:rFonts w:eastAsiaTheme="minorHAnsi"/>
          <w:b/>
          <w:lang w:eastAsia="en-US"/>
        </w:rPr>
        <w:t xml:space="preserve">Izglītības un zinātnes ministrijas ēkas Rīgā, Vaļņu ielā 2 evakuācijas ceļos esošo durvju aprīkošanai ar durvju </w:t>
      </w:r>
      <w:proofErr w:type="spellStart"/>
      <w:r w:rsidRPr="00FD4121">
        <w:rPr>
          <w:rFonts w:eastAsiaTheme="minorHAnsi"/>
          <w:b/>
          <w:lang w:eastAsia="en-US"/>
        </w:rPr>
        <w:t>pašaizveres</w:t>
      </w:r>
      <w:proofErr w:type="spellEnd"/>
      <w:r w:rsidRPr="00FD4121">
        <w:rPr>
          <w:rFonts w:eastAsiaTheme="minorHAnsi"/>
          <w:b/>
          <w:lang w:eastAsia="en-US"/>
        </w:rPr>
        <w:t xml:space="preserve"> mehānismiem</w:t>
      </w:r>
    </w:p>
    <w:p w14:paraId="0AA9B7FF" w14:textId="77777777" w:rsidR="00D62F5A" w:rsidRPr="00D62F5A" w:rsidRDefault="00D62F5A" w:rsidP="006874F5">
      <w:pPr>
        <w:spacing w:line="276" w:lineRule="auto"/>
        <w:jc w:val="center"/>
        <w:rPr>
          <w:rFonts w:eastAsiaTheme="minorHAnsi"/>
          <w:b/>
          <w:lang w:eastAsia="en-US"/>
        </w:rPr>
      </w:pPr>
    </w:p>
    <w:p w14:paraId="2C04596D" w14:textId="00A1599E" w:rsidR="00D62F5A" w:rsidRPr="00D62F5A" w:rsidRDefault="00D62F5A" w:rsidP="006874F5">
      <w:pPr>
        <w:numPr>
          <w:ilvl w:val="0"/>
          <w:numId w:val="22"/>
        </w:numPr>
        <w:spacing w:after="160" w:line="276" w:lineRule="auto"/>
        <w:ind w:left="567" w:hanging="567"/>
        <w:contextualSpacing/>
        <w:jc w:val="both"/>
        <w:rPr>
          <w:rFonts w:eastAsiaTheme="minorHAnsi"/>
          <w:b/>
          <w:u w:val="double"/>
          <w:lang w:eastAsia="en-US"/>
        </w:rPr>
      </w:pPr>
      <w:r w:rsidRPr="00D62F5A">
        <w:rPr>
          <w:rFonts w:eastAsiaTheme="minorHAnsi"/>
          <w:b/>
          <w:u w:val="double"/>
          <w:lang w:eastAsia="en-US"/>
        </w:rPr>
        <w:t>Iepirkuma priekšmets</w:t>
      </w:r>
    </w:p>
    <w:p w14:paraId="3DE76F62" w14:textId="77777777" w:rsidR="00D62F5A" w:rsidRPr="00D62F5A" w:rsidRDefault="00D62F5A" w:rsidP="006874F5">
      <w:pPr>
        <w:spacing w:line="276" w:lineRule="auto"/>
        <w:ind w:left="567"/>
        <w:contextualSpacing/>
        <w:jc w:val="both"/>
        <w:rPr>
          <w:rFonts w:eastAsiaTheme="minorHAnsi"/>
          <w:b/>
          <w:u w:val="double"/>
          <w:lang w:eastAsia="en-US"/>
        </w:rPr>
      </w:pPr>
    </w:p>
    <w:p w14:paraId="72A8D2B2" w14:textId="000AE7D1"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 xml:space="preserve">Durvju </w:t>
      </w:r>
      <w:proofErr w:type="spellStart"/>
      <w:r w:rsidRPr="00D62F5A">
        <w:rPr>
          <w:rFonts w:eastAsiaTheme="minorHAnsi"/>
          <w:lang w:eastAsia="en-US"/>
        </w:rPr>
        <w:t>pašaizveres</w:t>
      </w:r>
      <w:proofErr w:type="spellEnd"/>
      <w:r w:rsidRPr="00D62F5A">
        <w:rPr>
          <w:rFonts w:eastAsiaTheme="minorHAnsi"/>
          <w:lang w:eastAsia="en-US"/>
        </w:rPr>
        <w:t xml:space="preserve"> mehānismu (turpmāk – aprīkojums) piegāde, uzstādīšana un regulācija Izglītības un zinātnes ministrijas ēkas (turpmāk – ēka vai objekts) evakuācijas ceļos esošajām durvīm (viss kopā turpmāk – pasūtījums)</w:t>
      </w:r>
      <w:r w:rsidR="006874F5">
        <w:rPr>
          <w:rFonts w:eastAsiaTheme="minorHAnsi"/>
          <w:lang w:eastAsia="en-US"/>
        </w:rPr>
        <w:t>.</w:t>
      </w:r>
    </w:p>
    <w:p w14:paraId="51A7FD89" w14:textId="77777777" w:rsidR="00D62F5A" w:rsidRPr="00D62F5A" w:rsidRDefault="00D62F5A" w:rsidP="006874F5">
      <w:pPr>
        <w:spacing w:line="276" w:lineRule="auto"/>
        <w:ind w:left="567"/>
        <w:contextualSpacing/>
        <w:jc w:val="both"/>
        <w:rPr>
          <w:rFonts w:eastAsiaTheme="minorHAnsi"/>
          <w:lang w:eastAsia="en-US"/>
        </w:rPr>
      </w:pPr>
    </w:p>
    <w:p w14:paraId="34B648D0" w14:textId="6F96A0BD" w:rsidR="00D62F5A" w:rsidRPr="00D62F5A" w:rsidRDefault="00D62F5A" w:rsidP="006874F5">
      <w:pPr>
        <w:numPr>
          <w:ilvl w:val="0"/>
          <w:numId w:val="8"/>
        </w:numPr>
        <w:spacing w:after="160" w:line="276" w:lineRule="auto"/>
        <w:ind w:left="567" w:hanging="567"/>
        <w:contextualSpacing/>
        <w:jc w:val="both"/>
        <w:rPr>
          <w:rFonts w:eastAsiaTheme="minorHAnsi"/>
          <w:b/>
          <w:u w:val="double"/>
          <w:lang w:eastAsia="en-US"/>
        </w:rPr>
      </w:pPr>
      <w:r w:rsidRPr="00D62F5A">
        <w:rPr>
          <w:rFonts w:eastAsiaTheme="minorHAnsi"/>
          <w:lang w:eastAsia="en-US"/>
        </w:rPr>
        <w:t xml:space="preserve"> </w:t>
      </w:r>
      <w:r w:rsidRPr="00D62F5A">
        <w:rPr>
          <w:rFonts w:eastAsiaTheme="minorHAnsi"/>
          <w:b/>
          <w:u w:val="double"/>
          <w:lang w:eastAsia="en-US"/>
        </w:rPr>
        <w:t>Tehniskā informācija par iepirkuma priekšmetu</w:t>
      </w:r>
    </w:p>
    <w:p w14:paraId="50141772" w14:textId="77777777" w:rsidR="00D62F5A" w:rsidRPr="00D62F5A" w:rsidRDefault="00D62F5A" w:rsidP="006874F5">
      <w:pPr>
        <w:spacing w:line="276" w:lineRule="auto"/>
        <w:ind w:left="567"/>
        <w:contextualSpacing/>
        <w:jc w:val="both"/>
        <w:rPr>
          <w:rFonts w:eastAsiaTheme="minorHAnsi"/>
          <w:b/>
          <w:u w:val="double"/>
          <w:lang w:eastAsia="en-US"/>
        </w:rPr>
      </w:pPr>
    </w:p>
    <w:p w14:paraId="2DD45FFC" w14:textId="77777777" w:rsidR="00D62F5A" w:rsidRPr="00D62F5A" w:rsidRDefault="00D62F5A" w:rsidP="006874F5">
      <w:pPr>
        <w:numPr>
          <w:ilvl w:val="1"/>
          <w:numId w:val="8"/>
        </w:numPr>
        <w:spacing w:after="160" w:line="276" w:lineRule="auto"/>
        <w:ind w:left="709" w:hanging="709"/>
        <w:contextualSpacing/>
        <w:jc w:val="both"/>
        <w:rPr>
          <w:rFonts w:eastAsiaTheme="minorHAnsi"/>
          <w:lang w:eastAsia="en-US"/>
        </w:rPr>
      </w:pPr>
      <w:r w:rsidRPr="00D62F5A">
        <w:rPr>
          <w:rFonts w:eastAsiaTheme="minorHAnsi"/>
          <w:lang w:eastAsia="en-US"/>
        </w:rPr>
        <w:t xml:space="preserve">Pasūtījuma izpildes ietvaros izpildītājs veic 16 (sešpadsmit) durvju komplektu aprīkošanu ar durvju </w:t>
      </w:r>
      <w:proofErr w:type="spellStart"/>
      <w:r w:rsidRPr="00D62F5A">
        <w:rPr>
          <w:rFonts w:eastAsiaTheme="minorHAnsi"/>
          <w:lang w:eastAsia="en-US"/>
        </w:rPr>
        <w:t>pašaizveres</w:t>
      </w:r>
      <w:proofErr w:type="spellEnd"/>
      <w:r w:rsidRPr="00D62F5A">
        <w:rPr>
          <w:rFonts w:eastAsiaTheme="minorHAnsi"/>
          <w:lang w:eastAsia="en-US"/>
        </w:rPr>
        <w:t xml:space="preserve"> mehānismiem.</w:t>
      </w:r>
    </w:p>
    <w:p w14:paraId="47730BC8" w14:textId="77777777" w:rsidR="00D62F5A" w:rsidRPr="00D62F5A" w:rsidRDefault="00D62F5A" w:rsidP="006874F5">
      <w:pPr>
        <w:numPr>
          <w:ilvl w:val="1"/>
          <w:numId w:val="8"/>
        </w:numPr>
        <w:spacing w:after="160" w:line="276" w:lineRule="auto"/>
        <w:ind w:left="709" w:hanging="709"/>
        <w:contextualSpacing/>
        <w:jc w:val="both"/>
        <w:rPr>
          <w:rFonts w:eastAsiaTheme="minorHAnsi"/>
          <w:lang w:eastAsia="en-US"/>
        </w:rPr>
      </w:pPr>
      <w:r w:rsidRPr="00D62F5A">
        <w:rPr>
          <w:rFonts w:eastAsiaTheme="minorHAnsi"/>
          <w:lang w:eastAsia="en-US"/>
        </w:rPr>
        <w:t>Pasūtījuma apjomu veido:</w:t>
      </w:r>
    </w:p>
    <w:p w14:paraId="2397CB34" w14:textId="77777777" w:rsidR="00D62F5A" w:rsidRPr="00D62F5A" w:rsidRDefault="00D62F5A" w:rsidP="006874F5">
      <w:pPr>
        <w:numPr>
          <w:ilvl w:val="2"/>
          <w:numId w:val="8"/>
        </w:numPr>
        <w:spacing w:after="160" w:line="276" w:lineRule="auto"/>
        <w:ind w:left="0" w:firstLine="0"/>
        <w:contextualSpacing/>
        <w:jc w:val="both"/>
        <w:rPr>
          <w:rFonts w:eastAsiaTheme="minorHAnsi"/>
          <w:lang w:eastAsia="en-US"/>
        </w:rPr>
      </w:pPr>
      <w:r w:rsidRPr="00D62F5A">
        <w:rPr>
          <w:rFonts w:eastAsiaTheme="minorHAnsi"/>
          <w:lang w:eastAsia="en-US"/>
        </w:rPr>
        <w:t>četrpadsmit koka iekšdurvju komplekti:</w:t>
      </w:r>
    </w:p>
    <w:p w14:paraId="115B51AD" w14:textId="77777777" w:rsidR="00D62F5A" w:rsidRPr="00D62F5A" w:rsidRDefault="00D62F5A" w:rsidP="006874F5">
      <w:pPr>
        <w:numPr>
          <w:ilvl w:val="3"/>
          <w:numId w:val="8"/>
        </w:numPr>
        <w:spacing w:after="160" w:line="276" w:lineRule="auto"/>
        <w:ind w:left="1134" w:hanging="850"/>
        <w:contextualSpacing/>
        <w:jc w:val="both"/>
        <w:rPr>
          <w:rFonts w:eastAsiaTheme="minorHAnsi"/>
          <w:lang w:eastAsia="en-US"/>
        </w:rPr>
      </w:pPr>
      <w:r w:rsidRPr="00D62F5A">
        <w:rPr>
          <w:rFonts w:eastAsiaTheme="minorHAnsi"/>
          <w:lang w:eastAsia="en-US"/>
        </w:rPr>
        <w:t xml:space="preserve">vienpadsmit durvju komplekti ar durvju vērtnes platumu līdz 95 cm un durvju vērtnes svaru līdz 80 kg (četrām durvīm vēršanās virziens labais, durvju </w:t>
      </w:r>
      <w:proofErr w:type="spellStart"/>
      <w:r w:rsidRPr="00D62F5A">
        <w:rPr>
          <w:rFonts w:eastAsiaTheme="minorHAnsi"/>
          <w:lang w:eastAsia="en-US"/>
        </w:rPr>
        <w:t>pašaizveres</w:t>
      </w:r>
      <w:proofErr w:type="spellEnd"/>
      <w:r w:rsidRPr="00D62F5A">
        <w:rPr>
          <w:rFonts w:eastAsiaTheme="minorHAnsi"/>
          <w:lang w:eastAsia="en-US"/>
        </w:rPr>
        <w:t xml:space="preserve"> mehānismi baltā krāsā un septiņām durvīm vēršanās virziens kreisais, no kuriem pieci durvju </w:t>
      </w:r>
      <w:proofErr w:type="spellStart"/>
      <w:r w:rsidRPr="00D62F5A">
        <w:rPr>
          <w:rFonts w:eastAsiaTheme="minorHAnsi"/>
          <w:lang w:eastAsia="en-US"/>
        </w:rPr>
        <w:t>pašaizveres</w:t>
      </w:r>
      <w:proofErr w:type="spellEnd"/>
      <w:r w:rsidRPr="00D62F5A">
        <w:rPr>
          <w:rFonts w:eastAsiaTheme="minorHAnsi"/>
          <w:lang w:eastAsia="en-US"/>
        </w:rPr>
        <w:t xml:space="preserve"> mehānismi baltā krāsā, viens durvju </w:t>
      </w:r>
      <w:proofErr w:type="spellStart"/>
      <w:r w:rsidRPr="00D62F5A">
        <w:rPr>
          <w:rFonts w:eastAsiaTheme="minorHAnsi"/>
          <w:lang w:eastAsia="en-US"/>
        </w:rPr>
        <w:t>pašaizveres</w:t>
      </w:r>
      <w:proofErr w:type="spellEnd"/>
      <w:r w:rsidRPr="00D62F5A">
        <w:rPr>
          <w:rFonts w:eastAsiaTheme="minorHAnsi"/>
          <w:lang w:eastAsia="en-US"/>
        </w:rPr>
        <w:t xml:space="preserve"> mehānisma komplekts pelēkā krāsā un viens durvju </w:t>
      </w:r>
      <w:proofErr w:type="spellStart"/>
      <w:r w:rsidRPr="00D62F5A">
        <w:rPr>
          <w:rFonts w:eastAsiaTheme="minorHAnsi"/>
          <w:lang w:eastAsia="en-US"/>
        </w:rPr>
        <w:t>pašaizveres</w:t>
      </w:r>
      <w:proofErr w:type="spellEnd"/>
      <w:r w:rsidRPr="00D62F5A">
        <w:rPr>
          <w:rFonts w:eastAsiaTheme="minorHAnsi"/>
          <w:lang w:eastAsia="en-US"/>
        </w:rPr>
        <w:t xml:space="preserve"> mehānisma komplekts tumši brūnā krāsā); </w:t>
      </w:r>
    </w:p>
    <w:p w14:paraId="77590DC5" w14:textId="77777777" w:rsidR="00D62F5A" w:rsidRPr="00D62F5A" w:rsidRDefault="00D62F5A" w:rsidP="006874F5">
      <w:pPr>
        <w:numPr>
          <w:ilvl w:val="3"/>
          <w:numId w:val="8"/>
        </w:numPr>
        <w:spacing w:after="160" w:line="276" w:lineRule="auto"/>
        <w:ind w:left="1134" w:hanging="850"/>
        <w:contextualSpacing/>
        <w:jc w:val="both"/>
        <w:rPr>
          <w:rFonts w:eastAsiaTheme="minorHAnsi"/>
          <w:lang w:eastAsia="en-US"/>
        </w:rPr>
      </w:pPr>
      <w:r w:rsidRPr="00D62F5A">
        <w:rPr>
          <w:rFonts w:eastAsiaTheme="minorHAnsi"/>
          <w:lang w:eastAsia="en-US"/>
        </w:rPr>
        <w:t xml:space="preserve">trīs durvju komplekti ir ar durvju vērtnes platumu līdz 70 cm un durvju vērtnes svaru līdz 80 kg, vēršanās virziens divām durvīm labais, durvju </w:t>
      </w:r>
      <w:proofErr w:type="spellStart"/>
      <w:r w:rsidRPr="00D62F5A">
        <w:rPr>
          <w:rFonts w:eastAsiaTheme="minorHAnsi"/>
          <w:lang w:eastAsia="en-US"/>
        </w:rPr>
        <w:t>pašaizveres</w:t>
      </w:r>
      <w:proofErr w:type="spellEnd"/>
      <w:r w:rsidRPr="00D62F5A">
        <w:rPr>
          <w:rFonts w:eastAsiaTheme="minorHAnsi"/>
          <w:lang w:eastAsia="en-US"/>
        </w:rPr>
        <w:t xml:space="preserve"> mehānismi baltā krāsā, vēršanās virziens vienām durvīm kreisais, durvju </w:t>
      </w:r>
      <w:proofErr w:type="spellStart"/>
      <w:r w:rsidRPr="00D62F5A">
        <w:rPr>
          <w:rFonts w:eastAsiaTheme="minorHAnsi"/>
          <w:lang w:eastAsia="en-US"/>
        </w:rPr>
        <w:t>pašaizveres</w:t>
      </w:r>
      <w:proofErr w:type="spellEnd"/>
      <w:r w:rsidRPr="00D62F5A">
        <w:rPr>
          <w:rFonts w:eastAsiaTheme="minorHAnsi"/>
          <w:lang w:eastAsia="en-US"/>
        </w:rPr>
        <w:t xml:space="preserve"> mehānisms baltā krāsā;</w:t>
      </w:r>
    </w:p>
    <w:p w14:paraId="2E723A0D" w14:textId="77777777" w:rsidR="00D62F5A" w:rsidRPr="00D62F5A" w:rsidRDefault="00D62F5A" w:rsidP="006874F5">
      <w:pPr>
        <w:numPr>
          <w:ilvl w:val="2"/>
          <w:numId w:val="8"/>
        </w:numPr>
        <w:spacing w:after="160" w:line="276" w:lineRule="auto"/>
        <w:ind w:left="1134" w:hanging="850"/>
        <w:contextualSpacing/>
        <w:jc w:val="both"/>
        <w:rPr>
          <w:rFonts w:eastAsiaTheme="minorHAnsi"/>
          <w:lang w:eastAsia="en-US"/>
        </w:rPr>
      </w:pPr>
      <w:r w:rsidRPr="00D62F5A">
        <w:rPr>
          <w:rFonts w:eastAsiaTheme="minorHAnsi"/>
          <w:lang w:eastAsia="en-US"/>
        </w:rPr>
        <w:t xml:space="preserve">viens metāla ārdurvju komplekts ar durvju vērtnes platumu līdz 95 cm un durvju vērtnes svaru līdz 50 kg, vēršanās virziens labais, durvju </w:t>
      </w:r>
      <w:proofErr w:type="spellStart"/>
      <w:r w:rsidRPr="00D62F5A">
        <w:rPr>
          <w:rFonts w:eastAsiaTheme="minorHAnsi"/>
          <w:lang w:eastAsia="en-US"/>
        </w:rPr>
        <w:t>pašaizveres</w:t>
      </w:r>
      <w:proofErr w:type="spellEnd"/>
      <w:r w:rsidRPr="00D62F5A">
        <w:rPr>
          <w:rFonts w:eastAsiaTheme="minorHAnsi"/>
          <w:lang w:eastAsia="en-US"/>
        </w:rPr>
        <w:t xml:space="preserve"> mehānisms tumši brūnā krāsā;</w:t>
      </w:r>
    </w:p>
    <w:p w14:paraId="6F29C562" w14:textId="77777777" w:rsidR="00D62F5A" w:rsidRPr="00D62F5A" w:rsidRDefault="00D62F5A" w:rsidP="006874F5">
      <w:pPr>
        <w:numPr>
          <w:ilvl w:val="2"/>
          <w:numId w:val="8"/>
        </w:numPr>
        <w:spacing w:after="160" w:line="276" w:lineRule="auto"/>
        <w:ind w:left="1134" w:hanging="850"/>
        <w:contextualSpacing/>
        <w:jc w:val="both"/>
        <w:rPr>
          <w:rFonts w:eastAsiaTheme="minorHAnsi"/>
          <w:lang w:eastAsia="en-US"/>
        </w:rPr>
      </w:pPr>
      <w:r w:rsidRPr="00D62F5A">
        <w:rPr>
          <w:rFonts w:eastAsiaTheme="minorHAnsi"/>
          <w:lang w:eastAsia="en-US"/>
        </w:rPr>
        <w:t xml:space="preserve">vienas koka ārdurvju komplekts ar durvju vērtnes platumu līdz 70 cm un durvju vērtnes svaru līdz 40 kg, vēršanās virziens kreisais, durvju </w:t>
      </w:r>
      <w:proofErr w:type="spellStart"/>
      <w:r w:rsidRPr="00D62F5A">
        <w:rPr>
          <w:rFonts w:eastAsiaTheme="minorHAnsi"/>
          <w:lang w:eastAsia="en-US"/>
        </w:rPr>
        <w:t>pašaizveres</w:t>
      </w:r>
      <w:proofErr w:type="spellEnd"/>
      <w:r w:rsidRPr="00D62F5A">
        <w:rPr>
          <w:rFonts w:eastAsiaTheme="minorHAnsi"/>
          <w:lang w:eastAsia="en-US"/>
        </w:rPr>
        <w:t xml:space="preserve"> mehānisms tumši brūnā krāsā.</w:t>
      </w:r>
    </w:p>
    <w:p w14:paraId="30863770" w14:textId="77777777" w:rsidR="00D62F5A" w:rsidRPr="00D62F5A" w:rsidRDefault="00D62F5A" w:rsidP="006874F5">
      <w:pPr>
        <w:numPr>
          <w:ilvl w:val="1"/>
          <w:numId w:val="8"/>
        </w:numPr>
        <w:spacing w:after="160" w:line="276" w:lineRule="auto"/>
        <w:ind w:left="709" w:hanging="709"/>
        <w:contextualSpacing/>
        <w:jc w:val="both"/>
        <w:rPr>
          <w:rFonts w:eastAsiaTheme="minorHAnsi"/>
          <w:lang w:eastAsia="en-US"/>
        </w:rPr>
      </w:pPr>
      <w:r w:rsidRPr="00D62F5A">
        <w:rPr>
          <w:rFonts w:eastAsiaTheme="minorHAnsi"/>
          <w:lang w:eastAsia="en-US"/>
        </w:rPr>
        <w:t xml:space="preserve">Durvju </w:t>
      </w:r>
      <w:proofErr w:type="spellStart"/>
      <w:r w:rsidRPr="00D62F5A">
        <w:rPr>
          <w:rFonts w:eastAsiaTheme="minorHAnsi"/>
          <w:lang w:eastAsia="en-US"/>
        </w:rPr>
        <w:t>pašaizveres</w:t>
      </w:r>
      <w:proofErr w:type="spellEnd"/>
      <w:r w:rsidRPr="00D62F5A">
        <w:rPr>
          <w:rFonts w:eastAsiaTheme="minorHAnsi"/>
          <w:lang w:eastAsia="en-US"/>
        </w:rPr>
        <w:t xml:space="preserve"> mehānismus ir paredzēts uzstādīt durvju vērtnēm no durvju kārbas iekšējās puses.</w:t>
      </w:r>
    </w:p>
    <w:p w14:paraId="2809A0D3" w14:textId="77777777" w:rsidR="00D62F5A" w:rsidRPr="00D62F5A" w:rsidRDefault="00D62F5A" w:rsidP="006874F5">
      <w:pPr>
        <w:numPr>
          <w:ilvl w:val="1"/>
          <w:numId w:val="8"/>
        </w:numPr>
        <w:spacing w:after="160" w:line="276" w:lineRule="auto"/>
        <w:ind w:left="709" w:hanging="709"/>
        <w:contextualSpacing/>
        <w:jc w:val="both"/>
        <w:rPr>
          <w:rFonts w:eastAsiaTheme="minorHAnsi"/>
          <w:lang w:eastAsia="en-US"/>
        </w:rPr>
      </w:pPr>
      <w:r w:rsidRPr="00D62F5A">
        <w:rPr>
          <w:rFonts w:eastAsiaTheme="minorHAnsi"/>
          <w:lang w:eastAsia="en-US"/>
        </w:rPr>
        <w:t>Pasūtījuma izpildē izmantotajam aprīkojumam ir jābūt ražotāja izsniegtajai ekspluatācijas īpašību deklarācijai.</w:t>
      </w:r>
    </w:p>
    <w:p w14:paraId="146B9007" w14:textId="77777777" w:rsidR="00D62F5A" w:rsidRPr="00D62F5A" w:rsidRDefault="00D62F5A" w:rsidP="006874F5">
      <w:pPr>
        <w:numPr>
          <w:ilvl w:val="1"/>
          <w:numId w:val="8"/>
        </w:numPr>
        <w:spacing w:after="160" w:line="276" w:lineRule="auto"/>
        <w:ind w:left="709" w:hanging="709"/>
        <w:contextualSpacing/>
        <w:jc w:val="both"/>
        <w:rPr>
          <w:rFonts w:eastAsiaTheme="minorHAnsi"/>
          <w:lang w:eastAsia="en-US"/>
        </w:rPr>
      </w:pPr>
      <w:r w:rsidRPr="00D62F5A">
        <w:rPr>
          <w:rFonts w:eastAsiaTheme="minorHAnsi"/>
          <w:lang w:eastAsia="en-US"/>
        </w:rPr>
        <w:t xml:space="preserve">Tehniskās un funkcionālās prasības durvju </w:t>
      </w:r>
      <w:proofErr w:type="spellStart"/>
      <w:r w:rsidRPr="00D62F5A">
        <w:rPr>
          <w:rFonts w:eastAsiaTheme="minorHAnsi"/>
          <w:lang w:eastAsia="en-US"/>
        </w:rPr>
        <w:t>pašaizveres</w:t>
      </w:r>
      <w:proofErr w:type="spellEnd"/>
      <w:r w:rsidRPr="00D62F5A">
        <w:rPr>
          <w:rFonts w:eastAsiaTheme="minorHAnsi"/>
          <w:lang w:eastAsia="en-US"/>
        </w:rPr>
        <w:t xml:space="preserve"> mehānismiem (aprīkojumam jāatbilst šajā apakšpunktā noteiktajām prasībām, taču vienlaikus aprīkojums var būt nodrošināts arī ar papildus funkcijām):</w:t>
      </w:r>
    </w:p>
    <w:p w14:paraId="7D811A0E" w14:textId="1511154F" w:rsidR="00D62F5A" w:rsidRPr="00D62F5A" w:rsidRDefault="00D62F5A" w:rsidP="006874F5">
      <w:pPr>
        <w:numPr>
          <w:ilvl w:val="2"/>
          <w:numId w:val="8"/>
        </w:numPr>
        <w:spacing w:after="160" w:line="276" w:lineRule="auto"/>
        <w:ind w:left="993" w:hanging="709"/>
        <w:contextualSpacing/>
        <w:jc w:val="both"/>
        <w:rPr>
          <w:rFonts w:eastAsiaTheme="minorHAnsi"/>
          <w:lang w:eastAsia="en-US"/>
        </w:rPr>
      </w:pPr>
      <w:r w:rsidRPr="00D62F5A">
        <w:rPr>
          <w:rFonts w:eastAsiaTheme="minorHAnsi"/>
          <w:lang w:eastAsia="en-US"/>
        </w:rPr>
        <w:t>Darbības veida noslodze ir paredzēta ekspluatācijai publiskos objektos</w:t>
      </w:r>
      <w:r w:rsidR="006874F5">
        <w:rPr>
          <w:rFonts w:eastAsiaTheme="minorHAnsi"/>
          <w:lang w:eastAsia="en-US"/>
        </w:rPr>
        <w:t>;</w:t>
      </w:r>
      <w:r w:rsidRPr="00D62F5A">
        <w:rPr>
          <w:rFonts w:eastAsiaTheme="minorHAnsi"/>
          <w:lang w:eastAsia="en-US"/>
        </w:rPr>
        <w:t xml:space="preserve"> </w:t>
      </w:r>
    </w:p>
    <w:p w14:paraId="5CD19028" w14:textId="77777777" w:rsidR="00D62F5A" w:rsidRPr="00D62F5A" w:rsidRDefault="00D62F5A" w:rsidP="006874F5">
      <w:pPr>
        <w:numPr>
          <w:ilvl w:val="2"/>
          <w:numId w:val="8"/>
        </w:numPr>
        <w:spacing w:after="160" w:line="276" w:lineRule="auto"/>
        <w:ind w:left="993" w:hanging="709"/>
        <w:contextualSpacing/>
        <w:jc w:val="both"/>
        <w:rPr>
          <w:rFonts w:eastAsiaTheme="minorHAnsi"/>
          <w:lang w:eastAsia="en-US"/>
        </w:rPr>
      </w:pPr>
      <w:r w:rsidRPr="00D62F5A">
        <w:rPr>
          <w:rFonts w:eastAsiaTheme="minorHAnsi"/>
          <w:lang w:eastAsia="en-US"/>
        </w:rPr>
        <w:t>Regulējams aizvēršanas ātrums un spēks;</w:t>
      </w:r>
    </w:p>
    <w:p w14:paraId="6E943F25" w14:textId="77777777" w:rsidR="00D62F5A" w:rsidRPr="00D62F5A" w:rsidRDefault="00D62F5A" w:rsidP="006874F5">
      <w:pPr>
        <w:numPr>
          <w:ilvl w:val="2"/>
          <w:numId w:val="8"/>
        </w:numPr>
        <w:spacing w:after="160" w:line="276" w:lineRule="auto"/>
        <w:ind w:left="993" w:hanging="709"/>
        <w:contextualSpacing/>
        <w:jc w:val="both"/>
        <w:rPr>
          <w:rFonts w:eastAsiaTheme="minorHAnsi"/>
          <w:lang w:eastAsia="en-US"/>
        </w:rPr>
      </w:pPr>
      <w:r w:rsidRPr="00D62F5A">
        <w:rPr>
          <w:rFonts w:eastAsiaTheme="minorHAnsi"/>
          <w:lang w:eastAsia="en-US"/>
        </w:rPr>
        <w:t>Aizvēršanas spēks pēc EN 1154 : EN 1-6;</w:t>
      </w:r>
    </w:p>
    <w:p w14:paraId="48476EDE" w14:textId="77777777" w:rsidR="00D62F5A" w:rsidRPr="00D62F5A" w:rsidRDefault="00D62F5A" w:rsidP="006874F5">
      <w:pPr>
        <w:numPr>
          <w:ilvl w:val="2"/>
          <w:numId w:val="8"/>
        </w:numPr>
        <w:spacing w:after="160" w:line="276" w:lineRule="auto"/>
        <w:ind w:left="993" w:hanging="709"/>
        <w:contextualSpacing/>
        <w:jc w:val="both"/>
        <w:rPr>
          <w:rFonts w:eastAsiaTheme="minorHAnsi"/>
          <w:lang w:eastAsia="en-US"/>
        </w:rPr>
      </w:pPr>
      <w:r w:rsidRPr="00D62F5A">
        <w:rPr>
          <w:rFonts w:eastAsiaTheme="minorHAnsi"/>
          <w:lang w:eastAsia="en-US"/>
        </w:rPr>
        <w:t>Atvēršanas leņķis ne mazāks par 160° (nodrošina durvju vērtnes atvēršanu ne mazāku par 160</w:t>
      </w:r>
      <w:r w:rsidRPr="00D62F5A">
        <w:rPr>
          <w:rFonts w:eastAsiaTheme="minorHAnsi"/>
          <w:vertAlign w:val="superscript"/>
          <w:lang w:eastAsia="en-US"/>
        </w:rPr>
        <w:t xml:space="preserve">O </w:t>
      </w:r>
      <w:r w:rsidRPr="00D62F5A">
        <w:rPr>
          <w:rFonts w:eastAsiaTheme="minorHAnsi"/>
          <w:lang w:eastAsia="en-US"/>
        </w:rPr>
        <w:t>leņķī attiecībā pret durvju kārbu);</w:t>
      </w:r>
    </w:p>
    <w:p w14:paraId="7775215F" w14:textId="6BC2B3BB" w:rsidR="00D62F5A" w:rsidRPr="00D62F5A" w:rsidRDefault="00D62F5A" w:rsidP="006874F5">
      <w:pPr>
        <w:numPr>
          <w:ilvl w:val="2"/>
          <w:numId w:val="8"/>
        </w:numPr>
        <w:spacing w:after="160" w:line="276" w:lineRule="auto"/>
        <w:ind w:left="993" w:hanging="709"/>
        <w:contextualSpacing/>
        <w:jc w:val="both"/>
        <w:rPr>
          <w:rFonts w:eastAsiaTheme="minorHAnsi"/>
          <w:lang w:eastAsia="en-US"/>
        </w:rPr>
      </w:pPr>
      <w:r w:rsidRPr="00D62F5A">
        <w:rPr>
          <w:rFonts w:eastAsiaTheme="minorHAnsi"/>
          <w:lang w:eastAsia="en-US"/>
        </w:rPr>
        <w:lastRenderedPageBreak/>
        <w:t xml:space="preserve">Regulējama mehāniska gala </w:t>
      </w:r>
      <w:proofErr w:type="spellStart"/>
      <w:r w:rsidRPr="00D62F5A">
        <w:rPr>
          <w:rFonts w:eastAsiaTheme="minorHAnsi"/>
          <w:lang w:eastAsia="en-US"/>
        </w:rPr>
        <w:t>piecirtiena</w:t>
      </w:r>
      <w:proofErr w:type="spellEnd"/>
      <w:r w:rsidRPr="00D62F5A">
        <w:rPr>
          <w:rFonts w:eastAsiaTheme="minorHAnsi"/>
          <w:lang w:eastAsia="en-US"/>
        </w:rPr>
        <w:t xml:space="preserve"> funkcija, kas ar paātrinājumu ievelk durvju vērtni durvju kārbā aizvērtā stāvoklī</w:t>
      </w:r>
      <w:r w:rsidR="006874F5">
        <w:rPr>
          <w:rFonts w:eastAsiaTheme="minorHAnsi"/>
          <w:lang w:eastAsia="en-US"/>
        </w:rPr>
        <w:t>;</w:t>
      </w:r>
    </w:p>
    <w:p w14:paraId="638E3AD6" w14:textId="72FD5643" w:rsidR="00D62F5A" w:rsidRPr="00D62F5A" w:rsidRDefault="00D62F5A" w:rsidP="006874F5">
      <w:pPr>
        <w:numPr>
          <w:ilvl w:val="2"/>
          <w:numId w:val="8"/>
        </w:numPr>
        <w:spacing w:after="160" w:line="276" w:lineRule="auto"/>
        <w:ind w:left="993" w:hanging="709"/>
        <w:contextualSpacing/>
        <w:jc w:val="both"/>
        <w:rPr>
          <w:rFonts w:eastAsiaTheme="minorHAnsi"/>
          <w:lang w:eastAsia="en-US"/>
        </w:rPr>
      </w:pPr>
      <w:r w:rsidRPr="00D62F5A">
        <w:rPr>
          <w:rFonts w:eastAsiaTheme="minorHAnsi"/>
          <w:lang w:eastAsia="en-US"/>
        </w:rPr>
        <w:t>Iespēja durvju vērtni fiksēt atvērtā stāvoklī ne mazāk kā 180</w:t>
      </w:r>
      <w:r w:rsidRPr="00D62F5A">
        <w:rPr>
          <w:rFonts w:eastAsiaTheme="minorHAnsi"/>
          <w:vertAlign w:val="superscript"/>
          <w:lang w:eastAsia="en-US"/>
        </w:rPr>
        <w:t xml:space="preserve">O </w:t>
      </w:r>
      <w:r w:rsidRPr="00D62F5A">
        <w:rPr>
          <w:rFonts w:eastAsiaTheme="minorHAnsi"/>
          <w:lang w:eastAsia="en-US"/>
        </w:rPr>
        <w:t>leņķī attiecībā pret durvju kārbu</w:t>
      </w:r>
      <w:r w:rsidR="006874F5">
        <w:rPr>
          <w:rFonts w:eastAsiaTheme="minorHAnsi"/>
          <w:lang w:eastAsia="en-US"/>
        </w:rPr>
        <w:t>;</w:t>
      </w:r>
    </w:p>
    <w:p w14:paraId="6274115C" w14:textId="77777777" w:rsidR="00D62F5A" w:rsidRPr="00D62F5A" w:rsidRDefault="00D62F5A" w:rsidP="006874F5">
      <w:pPr>
        <w:numPr>
          <w:ilvl w:val="2"/>
          <w:numId w:val="8"/>
        </w:numPr>
        <w:spacing w:after="160" w:line="276" w:lineRule="auto"/>
        <w:ind w:left="993" w:hanging="709"/>
        <w:contextualSpacing/>
        <w:jc w:val="both"/>
        <w:rPr>
          <w:rFonts w:eastAsiaTheme="minorHAnsi"/>
          <w:lang w:eastAsia="en-US"/>
        </w:rPr>
      </w:pPr>
      <w:r w:rsidRPr="00D62F5A">
        <w:rPr>
          <w:rFonts w:eastAsiaTheme="minorHAnsi"/>
          <w:lang w:eastAsia="en-US"/>
        </w:rPr>
        <w:t>Tehnisko parametru regulācija tiek nodrošināta no mehānisma priekšējās vai sānu malas (neveicot mehānisma demontāžu).</w:t>
      </w:r>
    </w:p>
    <w:p w14:paraId="19CAECA9" w14:textId="77777777" w:rsidR="00D62F5A" w:rsidRPr="00D62F5A" w:rsidRDefault="00D62F5A" w:rsidP="006874F5">
      <w:pPr>
        <w:spacing w:line="276" w:lineRule="auto"/>
        <w:ind w:left="567"/>
        <w:contextualSpacing/>
        <w:jc w:val="both"/>
        <w:rPr>
          <w:rFonts w:eastAsiaTheme="minorHAnsi"/>
          <w:lang w:eastAsia="en-US"/>
        </w:rPr>
      </w:pPr>
    </w:p>
    <w:p w14:paraId="18E5DB00" w14:textId="3D6BE756" w:rsidR="00D62F5A" w:rsidRPr="00D62F5A" w:rsidRDefault="00D62F5A" w:rsidP="006874F5">
      <w:pPr>
        <w:numPr>
          <w:ilvl w:val="0"/>
          <w:numId w:val="8"/>
        </w:numPr>
        <w:spacing w:after="160" w:line="276" w:lineRule="auto"/>
        <w:ind w:left="567" w:hanging="567"/>
        <w:contextualSpacing/>
        <w:jc w:val="both"/>
        <w:rPr>
          <w:rFonts w:eastAsiaTheme="minorHAnsi"/>
          <w:b/>
          <w:u w:val="double"/>
          <w:lang w:eastAsia="en-US"/>
        </w:rPr>
      </w:pPr>
      <w:r w:rsidRPr="00D62F5A">
        <w:rPr>
          <w:rFonts w:eastAsiaTheme="minorHAnsi"/>
          <w:b/>
          <w:u w:val="double"/>
          <w:lang w:eastAsia="en-US"/>
        </w:rPr>
        <w:t>Pasūtījuma izpildes vispārīgie noteikumi</w:t>
      </w:r>
    </w:p>
    <w:p w14:paraId="450F4D0A" w14:textId="77777777" w:rsidR="00D62F5A" w:rsidRPr="00D62F5A" w:rsidRDefault="00D62F5A" w:rsidP="006874F5">
      <w:pPr>
        <w:spacing w:line="276" w:lineRule="auto"/>
        <w:ind w:left="567"/>
        <w:contextualSpacing/>
        <w:jc w:val="both"/>
        <w:rPr>
          <w:rFonts w:eastAsiaTheme="minorHAnsi"/>
          <w:b/>
          <w:u w:val="double"/>
          <w:lang w:eastAsia="en-US"/>
        </w:rPr>
      </w:pPr>
    </w:p>
    <w:p w14:paraId="770B61C1"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Izpildītājs izpilda un nodot pasūtījumu pasūtītājam ne vēlāk kā 25 (divdesmit piecu) darba dienu laikā no līguma abpusējas parakstīšanas dienas.</w:t>
      </w:r>
    </w:p>
    <w:p w14:paraId="0AB22340"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Izpildītājs pasūtījuma izpildi veic atbilstoši Ministru kabineta 2015.gada 30.jūnija noteikumiem Nr.333 „Noteikumi par Latvijas būvnormatīvu LBN 201-15 "Būvju ugunsdrošība" un Ministru kabineta 2016.gada 19.aprīļa noteikumiem Nr.238 „Ugunsdrošības noteikumi”.</w:t>
      </w:r>
    </w:p>
    <w:p w14:paraId="6EFF04B8"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Izpildītājs nodrošina pasūtījuma izpildē uzstādītā aprīkojuma un tā komponenšu nepārtrauktas darbības garantiju 24 mēnešu periodā (turpmāk – garantijas periods) no izpildītāja un pasūtītāja abpusēji parakstīta pasūtījuma izpildes pieņemšanas nodošanas akta dienas.</w:t>
      </w:r>
    </w:p>
    <w:p w14:paraId="48650912"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Ja garantijas periodā aprīkojuma darbībā tiek konstatēti funkcionāli vai vizuāli defekti, un kuru rašanās iemesls nav saistīts ar pretēji aprīkojuma lietošanas instrukcijā noteiktajam, izpildītāja ir jāveic uzstādītā aprīkojuma regulācija, remonts vai maiņa. Aprīkojuma remonta periodā izpildītājam ir jāveic līdzvērtīgu iekārtu piegāde un uzstādīšana objektā (lai objektā netiktu pārtraukta iespēja nodrošināt evakuācijas ceļu atbilstību atbilstoši Ministru kabineta 2016.gada 19.aprīļa noteikumiem Nr.238 „Ugunsdrošības noteikumi”), kā arī nepieciešamības gadījumā jāveic iekārtu regulācija atbilstoši pasūtītāja pārstāvja prasībām.</w:t>
      </w:r>
    </w:p>
    <w:p w14:paraId="6719C5B0" w14:textId="77777777" w:rsidR="00D62F5A" w:rsidRPr="00D62F5A" w:rsidRDefault="00D62F5A" w:rsidP="006874F5">
      <w:pPr>
        <w:spacing w:after="160" w:line="276" w:lineRule="auto"/>
        <w:ind w:left="567"/>
        <w:contextualSpacing/>
        <w:jc w:val="both"/>
        <w:rPr>
          <w:rFonts w:eastAsiaTheme="minorHAnsi"/>
          <w:lang w:eastAsia="en-US"/>
        </w:rPr>
      </w:pPr>
    </w:p>
    <w:p w14:paraId="62C1DC15" w14:textId="48F7A5B0" w:rsidR="00D62F5A" w:rsidRPr="00D62F5A" w:rsidRDefault="00D62F5A" w:rsidP="006874F5">
      <w:pPr>
        <w:numPr>
          <w:ilvl w:val="0"/>
          <w:numId w:val="8"/>
        </w:numPr>
        <w:spacing w:after="160" w:line="276" w:lineRule="auto"/>
        <w:ind w:left="567" w:hanging="567"/>
        <w:contextualSpacing/>
        <w:jc w:val="both"/>
        <w:rPr>
          <w:rFonts w:eastAsiaTheme="minorHAnsi"/>
          <w:b/>
          <w:u w:val="double"/>
          <w:lang w:eastAsia="en-US"/>
        </w:rPr>
      </w:pPr>
      <w:r w:rsidRPr="00D62F5A">
        <w:rPr>
          <w:rFonts w:eastAsiaTheme="minorHAnsi"/>
          <w:b/>
          <w:u w:val="double"/>
          <w:lang w:eastAsia="en-US"/>
        </w:rPr>
        <w:t>Pasūtījuma izpildes tehniskie noteikumi</w:t>
      </w:r>
    </w:p>
    <w:p w14:paraId="42250817" w14:textId="77777777" w:rsidR="00D62F5A" w:rsidRPr="00D62F5A" w:rsidRDefault="00D62F5A" w:rsidP="006874F5">
      <w:pPr>
        <w:spacing w:line="276" w:lineRule="auto"/>
        <w:ind w:left="567"/>
        <w:contextualSpacing/>
        <w:jc w:val="both"/>
        <w:rPr>
          <w:rFonts w:eastAsiaTheme="minorHAnsi"/>
          <w:b/>
          <w:u w:val="double"/>
          <w:lang w:eastAsia="en-US"/>
        </w:rPr>
      </w:pPr>
    </w:p>
    <w:p w14:paraId="21B43ADE"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Izpildītājs 2 (divu) darba dienu laikā, pirms pasūtījuma izpildes uzsākšanas objektā, iesniedz pasūtītāja pārstāvim līguma izpildē piesaistīto darbinieku sarakstu, kuri veiks ar pasūtījuma izpildi saistītas darbības objektā.</w:t>
      </w:r>
    </w:p>
    <w:p w14:paraId="1A430854" w14:textId="0444557F"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Izpildītāja darbiniekiem piekļuve objekta telpām, kurās būs nepieciešams veikt ar pasūtījuma izpildi saistītas darbības tiks nodrošināta darbdienās no plkst.</w:t>
      </w:r>
      <w:r w:rsidR="006874F5">
        <w:rPr>
          <w:rFonts w:eastAsiaTheme="minorHAnsi"/>
          <w:lang w:eastAsia="en-US"/>
        </w:rPr>
        <w:t> </w:t>
      </w:r>
      <w:r w:rsidRPr="00D62F5A">
        <w:rPr>
          <w:rFonts w:eastAsiaTheme="minorHAnsi"/>
          <w:lang w:eastAsia="en-US"/>
        </w:rPr>
        <w:t>8</w:t>
      </w:r>
      <w:r w:rsidR="006874F5">
        <w:rPr>
          <w:rFonts w:eastAsiaTheme="minorHAnsi"/>
          <w:lang w:eastAsia="en-US"/>
        </w:rPr>
        <w:t>.</w:t>
      </w:r>
      <w:r w:rsidRPr="00D62F5A">
        <w:rPr>
          <w:rFonts w:eastAsiaTheme="minorHAnsi"/>
          <w:lang w:eastAsia="en-US"/>
        </w:rPr>
        <w:t>30 līdz 17</w:t>
      </w:r>
      <w:r w:rsidR="006874F5">
        <w:rPr>
          <w:rFonts w:eastAsiaTheme="minorHAnsi"/>
          <w:lang w:eastAsia="en-US"/>
        </w:rPr>
        <w:t>.</w:t>
      </w:r>
      <w:r w:rsidRPr="00D62F5A">
        <w:rPr>
          <w:rFonts w:eastAsiaTheme="minorHAnsi"/>
          <w:lang w:eastAsia="en-US"/>
        </w:rPr>
        <w:t>00 (laiku vienu darba dienu iepriekš saskaņojot ar pasūtītāja pārstāvi).</w:t>
      </w:r>
    </w:p>
    <w:p w14:paraId="18A34267"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 xml:space="preserve">Izpildītāja darbiniekiem, atbilstoši tehniskās specifikācijas 3.1. un 3.2.apakšpunktā noteiktajam, piekļuve objekta telpām, kurās būs nepieciešams veikt ar pasūtījuma izpildi saistītas darbības tiks nodrošināta pēc personu apliecinoša dokumenta uzrādīšanas Izglītības un zinātnes ministrijas ēkas apsargam. </w:t>
      </w:r>
    </w:p>
    <w:p w14:paraId="4A37329F"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Izpildītājam pasūtījuma izpildes laikā, veicot ar pasūtījuma izpildi saistītas darbības objektā, tiks nodrošināta iespēja ēkas iekšpagalmā novietot vienu vieglo transportlīdzekli.</w:t>
      </w:r>
    </w:p>
    <w:p w14:paraId="429DE95C"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Izpildītājam pasūtījuma izpildes laikā ēkā tiks nodrošināta slēdzama telpa 30 m</w:t>
      </w:r>
      <w:r w:rsidRPr="00D62F5A">
        <w:rPr>
          <w:rFonts w:eastAsiaTheme="minorHAnsi"/>
          <w:vertAlign w:val="superscript"/>
          <w:lang w:eastAsia="en-US"/>
        </w:rPr>
        <w:t>2</w:t>
      </w:r>
      <w:r w:rsidRPr="00D62F5A">
        <w:rPr>
          <w:rFonts w:eastAsiaTheme="minorHAnsi"/>
          <w:lang w:eastAsia="en-US"/>
        </w:rPr>
        <w:t xml:space="preserve"> platībā, aprīkojuma un instrumentu glabāšanai.</w:t>
      </w:r>
    </w:p>
    <w:p w14:paraId="3F0E41F8"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lastRenderedPageBreak/>
        <w:t>Izpildītājam pasūtījuma izpildes laikā objektā radušies putekļi un būvgruži, pasūtījuma izpildes vietās un zonās kuras tiek izmantotas materiālu un instrumentu takelāžai, ir jāsavāc 15 minūšu laikā - tiklīdz pasūtījuma izpildes zonā ir pabeigti darbi kuru veikšanas laikā veidojas putekļi.</w:t>
      </w:r>
    </w:p>
    <w:p w14:paraId="21058EE1" w14:textId="77777777" w:rsidR="00D62F5A" w:rsidRPr="00D62F5A" w:rsidRDefault="00D62F5A" w:rsidP="006874F5">
      <w:pPr>
        <w:spacing w:line="276" w:lineRule="auto"/>
        <w:ind w:left="567"/>
        <w:contextualSpacing/>
        <w:jc w:val="both"/>
        <w:rPr>
          <w:rFonts w:eastAsiaTheme="minorHAnsi"/>
          <w:lang w:eastAsia="en-US"/>
        </w:rPr>
      </w:pPr>
    </w:p>
    <w:p w14:paraId="6D4701A9" w14:textId="5F9C3FFB" w:rsidR="00D62F5A" w:rsidRPr="00D62F5A" w:rsidRDefault="00D62F5A" w:rsidP="006874F5">
      <w:pPr>
        <w:numPr>
          <w:ilvl w:val="0"/>
          <w:numId w:val="8"/>
        </w:numPr>
        <w:spacing w:after="160" w:line="276" w:lineRule="auto"/>
        <w:ind w:left="567" w:hanging="567"/>
        <w:contextualSpacing/>
        <w:jc w:val="both"/>
        <w:rPr>
          <w:rFonts w:eastAsiaTheme="minorHAnsi"/>
          <w:b/>
          <w:u w:val="double"/>
          <w:lang w:eastAsia="en-US"/>
        </w:rPr>
      </w:pPr>
      <w:r w:rsidRPr="00D62F5A">
        <w:rPr>
          <w:rFonts w:eastAsiaTheme="minorHAnsi"/>
          <w:b/>
          <w:u w:val="double"/>
          <w:lang w:eastAsia="en-US"/>
        </w:rPr>
        <w:t>Pretendentam izvirzītās kvalifikācijas prasības dalībai iepirkumā</w:t>
      </w:r>
    </w:p>
    <w:p w14:paraId="5817ABE0" w14:textId="77777777" w:rsidR="00D62F5A" w:rsidRPr="00D62F5A" w:rsidRDefault="00D62F5A" w:rsidP="006874F5">
      <w:pPr>
        <w:spacing w:line="276" w:lineRule="auto"/>
        <w:ind w:left="567"/>
        <w:contextualSpacing/>
        <w:jc w:val="both"/>
        <w:rPr>
          <w:rFonts w:eastAsiaTheme="minorHAnsi"/>
          <w:b/>
          <w:u w:val="double"/>
          <w:lang w:eastAsia="en-US"/>
        </w:rPr>
      </w:pPr>
    </w:p>
    <w:p w14:paraId="1F299767"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 xml:space="preserve">Pretendentam ir jābūt pieredzei vismaz viena līdzvērtīga pasūtījuma izpildē. Par līdzvērtīgiem pasūtījumiem tiks uzskatīti pasūtījumi, kuros pretendents ir veicis durvju aprīkošanu ar durvju </w:t>
      </w:r>
      <w:proofErr w:type="spellStart"/>
      <w:r w:rsidRPr="00D62F5A">
        <w:rPr>
          <w:rFonts w:eastAsiaTheme="minorHAnsi"/>
          <w:lang w:eastAsia="en-US"/>
        </w:rPr>
        <w:t>pašaizveres</w:t>
      </w:r>
      <w:proofErr w:type="spellEnd"/>
      <w:r w:rsidRPr="00D62F5A">
        <w:rPr>
          <w:rFonts w:eastAsiaTheme="minorHAnsi"/>
          <w:lang w:eastAsia="en-US"/>
        </w:rPr>
        <w:t xml:space="preserve"> mehānismiem vismaz pusē no tehniskās specifikācijas 2.1.apakšpunktā noteiktā iepirkumu priekšmeta apjoma.</w:t>
      </w:r>
    </w:p>
    <w:p w14:paraId="19A21AE5"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Pretendentam pirms piedāvājuma iesniegšanas ir jāveic objekta evakuācijas ceļos  esošo durvju apsekošana – iespējamā tehniskā izpildījuma precizēšanai kas saistīts ar aprīkojuma uzstādīšanu.</w:t>
      </w:r>
    </w:p>
    <w:p w14:paraId="7AEE79D0" w14:textId="5675395C"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Pasūtījuma zonu apsekošanu ir iespējams veikt pirmdienās, otrdienās, trešdienās un ceturtdienās no p</w:t>
      </w:r>
      <w:r w:rsidR="006874F5">
        <w:rPr>
          <w:rFonts w:eastAsiaTheme="minorHAnsi"/>
          <w:lang w:eastAsia="en-US"/>
        </w:rPr>
        <w:t>lkst.</w:t>
      </w:r>
      <w:r w:rsidRPr="00D62F5A">
        <w:rPr>
          <w:rFonts w:eastAsiaTheme="minorHAnsi"/>
          <w:lang w:eastAsia="en-US"/>
        </w:rPr>
        <w:t xml:space="preserve"> 8</w:t>
      </w:r>
      <w:r w:rsidR="006874F5">
        <w:rPr>
          <w:rFonts w:eastAsiaTheme="minorHAnsi"/>
          <w:lang w:eastAsia="en-US"/>
        </w:rPr>
        <w:t>.</w:t>
      </w:r>
      <w:r w:rsidRPr="00D62F5A">
        <w:rPr>
          <w:rFonts w:eastAsiaTheme="minorHAnsi"/>
          <w:lang w:eastAsia="en-US"/>
        </w:rPr>
        <w:t>30 līdz 17</w:t>
      </w:r>
      <w:r w:rsidR="006874F5">
        <w:rPr>
          <w:rFonts w:eastAsiaTheme="minorHAnsi"/>
          <w:lang w:eastAsia="en-US"/>
        </w:rPr>
        <w:t>.</w:t>
      </w:r>
      <w:r w:rsidRPr="00D62F5A">
        <w:rPr>
          <w:rFonts w:eastAsiaTheme="minorHAnsi"/>
          <w:lang w:eastAsia="en-US"/>
        </w:rPr>
        <w:t xml:space="preserve">15, piektdienās </w:t>
      </w:r>
      <w:r w:rsidR="006874F5">
        <w:rPr>
          <w:rFonts w:eastAsiaTheme="minorHAnsi"/>
          <w:lang w:eastAsia="en-US"/>
        </w:rPr>
        <w:t xml:space="preserve">no plkst. </w:t>
      </w:r>
      <w:r w:rsidRPr="00D62F5A">
        <w:rPr>
          <w:rFonts w:eastAsiaTheme="minorHAnsi"/>
          <w:lang w:eastAsia="en-US"/>
        </w:rPr>
        <w:t>8</w:t>
      </w:r>
      <w:r w:rsidR="006874F5">
        <w:rPr>
          <w:rFonts w:eastAsiaTheme="minorHAnsi"/>
          <w:lang w:eastAsia="en-US"/>
        </w:rPr>
        <w:t>.</w:t>
      </w:r>
      <w:r w:rsidRPr="00D62F5A">
        <w:rPr>
          <w:rFonts w:eastAsiaTheme="minorHAnsi"/>
          <w:lang w:eastAsia="en-US"/>
        </w:rPr>
        <w:t>30 līdz 16</w:t>
      </w:r>
      <w:r w:rsidR="006874F5">
        <w:rPr>
          <w:rFonts w:eastAsiaTheme="minorHAnsi"/>
          <w:lang w:eastAsia="en-US"/>
        </w:rPr>
        <w:t>.</w:t>
      </w:r>
      <w:r w:rsidRPr="00D62F5A">
        <w:rPr>
          <w:rFonts w:eastAsiaTheme="minorHAnsi"/>
          <w:lang w:eastAsia="en-US"/>
        </w:rPr>
        <w:t>00.</w:t>
      </w:r>
    </w:p>
    <w:p w14:paraId="29C40A5D" w14:textId="77777777"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 xml:space="preserve">Pasūtījuma zonu apsekošanu ir nepieciešams pieteikt informējot pasūtītāja pārstāvi - Informācijas tehnoloģiju un nodrošinājuma departamenta vecāko speciālistu Jēkabu </w:t>
      </w:r>
      <w:proofErr w:type="spellStart"/>
      <w:r w:rsidRPr="00D62F5A">
        <w:rPr>
          <w:rFonts w:eastAsiaTheme="minorHAnsi"/>
          <w:lang w:eastAsia="en-US"/>
        </w:rPr>
        <w:t>Žuku</w:t>
      </w:r>
      <w:proofErr w:type="spellEnd"/>
      <w:r w:rsidRPr="00D62F5A">
        <w:rPr>
          <w:rFonts w:eastAsiaTheme="minorHAnsi"/>
          <w:lang w:eastAsia="en-US"/>
        </w:rPr>
        <w:t xml:space="preserve"> – </w:t>
      </w:r>
      <w:proofErr w:type="spellStart"/>
      <w:r w:rsidRPr="00D62F5A">
        <w:rPr>
          <w:rFonts w:eastAsiaTheme="minorHAnsi"/>
          <w:lang w:eastAsia="en-US"/>
        </w:rPr>
        <w:t>Roži</w:t>
      </w:r>
      <w:proofErr w:type="spellEnd"/>
      <w:r w:rsidRPr="00D62F5A">
        <w:rPr>
          <w:rFonts w:eastAsiaTheme="minorHAnsi"/>
          <w:lang w:eastAsia="en-US"/>
        </w:rPr>
        <w:t xml:space="preserve"> (tālrunis: 67047913, 28359204, e-pasts: jekabs.zuks_roze@izm.gov.lv).</w:t>
      </w:r>
    </w:p>
    <w:p w14:paraId="60CE578B" w14:textId="77777777" w:rsidR="00D62F5A" w:rsidRPr="00D62F5A" w:rsidRDefault="00D62F5A" w:rsidP="006874F5">
      <w:pPr>
        <w:spacing w:line="276" w:lineRule="auto"/>
        <w:ind w:left="567"/>
        <w:contextualSpacing/>
        <w:jc w:val="both"/>
        <w:rPr>
          <w:rFonts w:eastAsiaTheme="minorHAnsi"/>
          <w:lang w:eastAsia="en-US"/>
        </w:rPr>
      </w:pPr>
    </w:p>
    <w:p w14:paraId="67014D74" w14:textId="084F6CD5" w:rsidR="00D62F5A" w:rsidRPr="00D62F5A" w:rsidRDefault="00D62F5A" w:rsidP="006874F5">
      <w:pPr>
        <w:numPr>
          <w:ilvl w:val="0"/>
          <w:numId w:val="8"/>
        </w:numPr>
        <w:spacing w:after="160" w:line="276" w:lineRule="auto"/>
        <w:ind w:left="567" w:hanging="567"/>
        <w:contextualSpacing/>
        <w:jc w:val="both"/>
        <w:rPr>
          <w:rFonts w:eastAsiaTheme="minorHAnsi"/>
          <w:b/>
          <w:u w:val="double"/>
          <w:lang w:eastAsia="en-US"/>
        </w:rPr>
      </w:pPr>
      <w:r w:rsidRPr="00D62F5A">
        <w:rPr>
          <w:rFonts w:eastAsiaTheme="minorHAnsi"/>
          <w:b/>
          <w:u w:val="double"/>
          <w:lang w:eastAsia="en-US"/>
        </w:rPr>
        <w:t>Pasūtījuma apmaksas kārtība</w:t>
      </w:r>
    </w:p>
    <w:p w14:paraId="380552CD" w14:textId="77777777" w:rsidR="00D62F5A" w:rsidRPr="00D62F5A" w:rsidRDefault="00D62F5A" w:rsidP="006874F5">
      <w:pPr>
        <w:spacing w:line="276" w:lineRule="auto"/>
        <w:ind w:left="567" w:hanging="567"/>
        <w:contextualSpacing/>
        <w:jc w:val="both"/>
        <w:rPr>
          <w:rFonts w:eastAsiaTheme="minorHAnsi"/>
          <w:b/>
          <w:u w:val="double"/>
          <w:lang w:eastAsia="en-US"/>
        </w:rPr>
      </w:pPr>
    </w:p>
    <w:p w14:paraId="3F465F62" w14:textId="0D28EA9E" w:rsidR="00D62F5A" w:rsidRPr="00D62F5A" w:rsidRDefault="00D62F5A" w:rsidP="006874F5">
      <w:pPr>
        <w:numPr>
          <w:ilvl w:val="1"/>
          <w:numId w:val="8"/>
        </w:numPr>
        <w:spacing w:after="160" w:line="276" w:lineRule="auto"/>
        <w:ind w:left="567" w:hanging="567"/>
        <w:contextualSpacing/>
        <w:jc w:val="both"/>
        <w:rPr>
          <w:rFonts w:eastAsiaTheme="minorHAnsi"/>
          <w:lang w:eastAsia="en-US"/>
        </w:rPr>
      </w:pPr>
      <w:r w:rsidRPr="00D62F5A">
        <w:rPr>
          <w:rFonts w:eastAsiaTheme="minorHAnsi"/>
          <w:lang w:eastAsia="en-US"/>
        </w:rPr>
        <w:t xml:space="preserve">Līguma summa par līguma noteikumiem atbilstoša pasūtījuma saņemšanu tiks izmaksāta izpildītājam pēc izpildītāja un pasūtītāja abpusēji parakstīta pasūtījuma izpildes </w:t>
      </w:r>
      <w:r w:rsidR="006874F5" w:rsidRPr="00D62F5A">
        <w:rPr>
          <w:rFonts w:eastAsiaTheme="minorHAnsi"/>
          <w:lang w:eastAsia="en-US"/>
        </w:rPr>
        <w:t>nodošanas</w:t>
      </w:r>
      <w:r w:rsidR="006874F5" w:rsidRPr="00D62F5A">
        <w:rPr>
          <w:rFonts w:eastAsiaTheme="minorHAnsi"/>
          <w:lang w:eastAsia="en-US"/>
        </w:rPr>
        <w:t xml:space="preserve"> </w:t>
      </w:r>
      <w:r w:rsidR="006874F5">
        <w:rPr>
          <w:rFonts w:eastAsiaTheme="minorHAnsi"/>
          <w:lang w:eastAsia="en-US"/>
        </w:rPr>
        <w:t xml:space="preserve">un </w:t>
      </w:r>
      <w:r w:rsidRPr="00D62F5A">
        <w:rPr>
          <w:rFonts w:eastAsiaTheme="minorHAnsi"/>
          <w:lang w:eastAsia="en-US"/>
        </w:rPr>
        <w:t>pieņemšanas akta un rēķina saņemšanas no izpildītāja.</w:t>
      </w:r>
    </w:p>
    <w:p w14:paraId="09C61570" w14:textId="77777777" w:rsidR="00D62F5A" w:rsidRPr="00D62F5A" w:rsidRDefault="00D62F5A" w:rsidP="006874F5">
      <w:pPr>
        <w:spacing w:line="276" w:lineRule="auto"/>
        <w:ind w:left="567"/>
        <w:contextualSpacing/>
        <w:jc w:val="both"/>
        <w:rPr>
          <w:rFonts w:eastAsiaTheme="minorHAnsi"/>
          <w:lang w:eastAsia="en-US"/>
        </w:rPr>
      </w:pPr>
    </w:p>
    <w:p w14:paraId="0F310D35" w14:textId="6A0EE963" w:rsidR="00D62F5A" w:rsidRPr="00D62F5A" w:rsidRDefault="00D62F5A" w:rsidP="006874F5">
      <w:pPr>
        <w:numPr>
          <w:ilvl w:val="0"/>
          <w:numId w:val="8"/>
        </w:numPr>
        <w:spacing w:after="160" w:line="276" w:lineRule="auto"/>
        <w:ind w:left="567" w:hanging="567"/>
        <w:contextualSpacing/>
        <w:jc w:val="both"/>
        <w:rPr>
          <w:rFonts w:eastAsiaTheme="minorHAnsi"/>
          <w:b/>
          <w:u w:val="double"/>
          <w:lang w:eastAsia="en-US"/>
        </w:rPr>
      </w:pPr>
      <w:r w:rsidRPr="00D62F5A">
        <w:rPr>
          <w:rFonts w:eastAsiaTheme="minorHAnsi"/>
          <w:b/>
          <w:u w:val="double"/>
          <w:lang w:eastAsia="en-US"/>
        </w:rPr>
        <w:t>Piedāvājuma iesniegšanas noteikumi</w:t>
      </w:r>
    </w:p>
    <w:p w14:paraId="67D46179" w14:textId="77777777" w:rsidR="00D62F5A" w:rsidRPr="00D62F5A" w:rsidRDefault="00D62F5A" w:rsidP="006874F5">
      <w:pPr>
        <w:spacing w:line="276" w:lineRule="auto"/>
        <w:ind w:left="567" w:hanging="567"/>
        <w:contextualSpacing/>
        <w:jc w:val="both"/>
        <w:rPr>
          <w:rFonts w:eastAsiaTheme="minorHAnsi"/>
          <w:b/>
          <w:u w:val="double"/>
          <w:lang w:eastAsia="en-US"/>
        </w:rPr>
      </w:pPr>
    </w:p>
    <w:p w14:paraId="59AC5A23" w14:textId="77777777" w:rsidR="00D62F5A" w:rsidRPr="00D62F5A" w:rsidRDefault="00D62F5A" w:rsidP="006874F5">
      <w:pPr>
        <w:numPr>
          <w:ilvl w:val="1"/>
          <w:numId w:val="8"/>
        </w:numPr>
        <w:tabs>
          <w:tab w:val="left" w:pos="1134"/>
        </w:tabs>
        <w:spacing w:after="160" w:line="276" w:lineRule="auto"/>
        <w:ind w:left="567" w:hanging="567"/>
        <w:contextualSpacing/>
        <w:jc w:val="both"/>
        <w:rPr>
          <w:rFonts w:eastAsiaTheme="minorHAnsi"/>
          <w:lang w:eastAsia="en-US"/>
        </w:rPr>
      </w:pPr>
      <w:r w:rsidRPr="00D62F5A">
        <w:rPr>
          <w:rFonts w:eastAsiaTheme="minorHAnsi"/>
          <w:lang w:eastAsia="en-US"/>
        </w:rPr>
        <w:t xml:space="preserve">Pretendents drīkst iesniegt vienu piedāvājuma variantu aizpildot finanšu piedāvājuma veidlapas (tehniskās specifikācijas pielikums) paraugu, norādot pasūtījuma izpildes summu </w:t>
      </w:r>
      <w:proofErr w:type="spellStart"/>
      <w:r w:rsidRPr="00D62F5A">
        <w:rPr>
          <w:rFonts w:eastAsiaTheme="minorHAnsi"/>
          <w:i/>
          <w:lang w:eastAsia="en-US"/>
        </w:rPr>
        <w:t>euro</w:t>
      </w:r>
      <w:proofErr w:type="spellEnd"/>
      <w:r w:rsidRPr="00D62F5A">
        <w:rPr>
          <w:rFonts w:eastAsiaTheme="minorHAnsi"/>
          <w:lang w:eastAsia="en-US"/>
        </w:rPr>
        <w:t xml:space="preserve"> (bez PVN) par pasūtījuma izpildi atbilstoši tehniskās specifikācijas prasībām.</w:t>
      </w:r>
    </w:p>
    <w:p w14:paraId="440AE23B" w14:textId="77777777" w:rsidR="00D62F5A" w:rsidRPr="00D62F5A" w:rsidRDefault="00D62F5A" w:rsidP="006874F5">
      <w:pPr>
        <w:numPr>
          <w:ilvl w:val="1"/>
          <w:numId w:val="8"/>
        </w:numPr>
        <w:tabs>
          <w:tab w:val="left" w:pos="1134"/>
        </w:tabs>
        <w:spacing w:after="160" w:line="276" w:lineRule="auto"/>
        <w:ind w:left="567" w:hanging="567"/>
        <w:contextualSpacing/>
        <w:jc w:val="both"/>
        <w:rPr>
          <w:rFonts w:eastAsiaTheme="minorHAnsi"/>
          <w:lang w:eastAsia="en-US"/>
        </w:rPr>
      </w:pPr>
      <w:r w:rsidRPr="00D62F5A">
        <w:rPr>
          <w:rFonts w:eastAsiaTheme="minorHAnsi"/>
          <w:lang w:eastAsia="en-US"/>
        </w:rPr>
        <w:t>Pretendents iesniedzot cenas piedāvājumu iesniedz arī aprīkojuma tehnisko parametru atbilstību apliecinošo dokumentāciju atbilstoši tehniskās specifikācijas 2.4. un 2.5.apakšpuktā noteiktajam.</w:t>
      </w:r>
    </w:p>
    <w:p w14:paraId="7095D263" w14:textId="77777777" w:rsidR="00D62F5A" w:rsidRPr="00D62F5A" w:rsidRDefault="00D62F5A" w:rsidP="006874F5">
      <w:pPr>
        <w:tabs>
          <w:tab w:val="left" w:pos="1134"/>
        </w:tabs>
        <w:spacing w:line="276" w:lineRule="auto"/>
        <w:ind w:left="567"/>
        <w:contextualSpacing/>
        <w:jc w:val="both"/>
        <w:rPr>
          <w:rFonts w:eastAsiaTheme="minorHAnsi"/>
          <w:lang w:eastAsia="en-US"/>
        </w:rPr>
      </w:pPr>
    </w:p>
    <w:p w14:paraId="3EB521D1" w14:textId="591C7C24" w:rsidR="00D62F5A" w:rsidRPr="00D62F5A" w:rsidRDefault="00D62F5A" w:rsidP="006874F5">
      <w:pPr>
        <w:numPr>
          <w:ilvl w:val="0"/>
          <w:numId w:val="8"/>
        </w:numPr>
        <w:tabs>
          <w:tab w:val="left" w:pos="1134"/>
        </w:tabs>
        <w:spacing w:after="160" w:line="276" w:lineRule="auto"/>
        <w:ind w:left="567" w:hanging="567"/>
        <w:contextualSpacing/>
        <w:jc w:val="both"/>
        <w:rPr>
          <w:rFonts w:eastAsiaTheme="minorHAnsi"/>
          <w:b/>
          <w:lang w:eastAsia="en-US"/>
        </w:rPr>
      </w:pPr>
      <w:r w:rsidRPr="00D62F5A">
        <w:rPr>
          <w:rFonts w:eastAsiaTheme="minorHAnsi"/>
          <w:b/>
          <w:u w:val="double"/>
          <w:lang w:eastAsia="en-US"/>
        </w:rPr>
        <w:t>Piedāvājuma vērtēšanas kritēriji</w:t>
      </w:r>
    </w:p>
    <w:p w14:paraId="45DF2086" w14:textId="77777777" w:rsidR="00D62F5A" w:rsidRPr="00D62F5A" w:rsidRDefault="00D62F5A" w:rsidP="006874F5">
      <w:pPr>
        <w:tabs>
          <w:tab w:val="left" w:pos="1134"/>
        </w:tabs>
        <w:spacing w:line="276" w:lineRule="auto"/>
        <w:ind w:left="567"/>
        <w:contextualSpacing/>
        <w:jc w:val="both"/>
        <w:rPr>
          <w:rFonts w:eastAsiaTheme="minorHAnsi"/>
          <w:b/>
          <w:lang w:eastAsia="en-US"/>
        </w:rPr>
      </w:pPr>
    </w:p>
    <w:p w14:paraId="1BEF871A" w14:textId="77777777" w:rsidR="00D62F5A" w:rsidRPr="00D62F5A" w:rsidRDefault="00D62F5A" w:rsidP="006874F5">
      <w:pPr>
        <w:tabs>
          <w:tab w:val="left" w:pos="1134"/>
        </w:tabs>
        <w:spacing w:line="276" w:lineRule="auto"/>
        <w:ind w:left="567" w:hanging="567"/>
        <w:contextualSpacing/>
        <w:jc w:val="both"/>
        <w:rPr>
          <w:rFonts w:eastAsiaTheme="minorHAnsi"/>
          <w:lang w:eastAsia="en-US"/>
        </w:rPr>
      </w:pPr>
      <w:r w:rsidRPr="00D62F5A">
        <w:rPr>
          <w:rFonts w:eastAsiaTheme="minorHAnsi"/>
          <w:lang w:eastAsia="en-US"/>
        </w:rPr>
        <w:t>8.1.  Pasūtītājs izvērtē pretendenta piedāvātā aprīkojuma atbilstību tehniskās specifikācijas prasībām (vadoties pēc tehniskās specifikācijas 2.4. un 2.5. apakšpunktos noteiktajām tehniskajām un funkcionālajām prasībām).</w:t>
      </w:r>
    </w:p>
    <w:p w14:paraId="4F1EC2CA" w14:textId="77777777" w:rsidR="00D62F5A" w:rsidRPr="00D62F5A" w:rsidRDefault="00D62F5A" w:rsidP="006874F5">
      <w:pPr>
        <w:tabs>
          <w:tab w:val="left" w:pos="1134"/>
        </w:tabs>
        <w:spacing w:line="276" w:lineRule="auto"/>
        <w:ind w:left="567" w:hanging="567"/>
        <w:contextualSpacing/>
        <w:jc w:val="both"/>
        <w:rPr>
          <w:rFonts w:eastAsiaTheme="minorHAnsi"/>
          <w:lang w:eastAsia="en-US"/>
        </w:rPr>
      </w:pPr>
      <w:r w:rsidRPr="00D62F5A">
        <w:rPr>
          <w:rFonts w:eastAsiaTheme="minorHAnsi"/>
          <w:lang w:eastAsia="en-US"/>
        </w:rPr>
        <w:t>8.2.  Pasūtītājs izvēlas piedāvājumu ar zemāko cenas piedāvājumu, kas atbilst pasūtītāja tehniskajā specifikācijā noteiktajām prasībām.</w:t>
      </w:r>
    </w:p>
    <w:p w14:paraId="6A23B11F" w14:textId="77777777" w:rsidR="00D62F5A" w:rsidRPr="00D62F5A" w:rsidRDefault="00D62F5A" w:rsidP="006874F5">
      <w:pPr>
        <w:tabs>
          <w:tab w:val="left" w:pos="1134"/>
        </w:tabs>
        <w:spacing w:line="276" w:lineRule="auto"/>
        <w:ind w:left="567" w:hanging="567"/>
        <w:contextualSpacing/>
        <w:jc w:val="both"/>
        <w:rPr>
          <w:rFonts w:eastAsiaTheme="minorHAnsi"/>
          <w:lang w:eastAsia="en-US"/>
        </w:rPr>
      </w:pPr>
      <w:r w:rsidRPr="00D62F5A">
        <w:rPr>
          <w:rFonts w:eastAsiaTheme="minorHAnsi"/>
          <w:lang w:eastAsia="en-US"/>
        </w:rPr>
        <w:t>8.3. Piedāvājumu salīdzināšanā tiks izmantotas pretendentu finanšu piedāvājumos norādītās summas bez PVN.</w:t>
      </w:r>
    </w:p>
    <w:p w14:paraId="6E7770AF" w14:textId="77777777" w:rsidR="00DC3E72" w:rsidRPr="006874F5" w:rsidRDefault="00DC3E72" w:rsidP="006874F5">
      <w:pPr>
        <w:spacing w:line="276" w:lineRule="auto"/>
        <w:jc w:val="center"/>
        <w:rPr>
          <w:b/>
          <w:bCs/>
          <w:caps/>
        </w:rPr>
      </w:pPr>
    </w:p>
    <w:p w14:paraId="28DC00B8" w14:textId="42150932" w:rsidR="00D62F5A" w:rsidRPr="00D62F5A" w:rsidRDefault="006874F5" w:rsidP="006874F5">
      <w:pPr>
        <w:tabs>
          <w:tab w:val="left" w:pos="1134"/>
        </w:tabs>
        <w:spacing w:line="276" w:lineRule="auto"/>
        <w:ind w:left="567"/>
        <w:contextualSpacing/>
        <w:jc w:val="right"/>
        <w:rPr>
          <w:rFonts w:eastAsiaTheme="minorHAnsi"/>
          <w:lang w:eastAsia="en-US"/>
        </w:rPr>
      </w:pPr>
      <w:r w:rsidRPr="006874F5">
        <w:rPr>
          <w:rFonts w:eastAsiaTheme="minorHAnsi"/>
          <w:lang w:eastAsia="en-US"/>
        </w:rPr>
        <w:t>P</w:t>
      </w:r>
      <w:r w:rsidR="00D62F5A" w:rsidRPr="00D62F5A">
        <w:rPr>
          <w:rFonts w:eastAsiaTheme="minorHAnsi"/>
          <w:lang w:eastAsia="en-US"/>
        </w:rPr>
        <w:t>ielikums</w:t>
      </w:r>
    </w:p>
    <w:p w14:paraId="5D51CBBF" w14:textId="77777777" w:rsidR="00AB553E" w:rsidRPr="00D62F5A" w:rsidRDefault="00AB553E" w:rsidP="00AB553E">
      <w:pPr>
        <w:tabs>
          <w:tab w:val="left" w:pos="142"/>
        </w:tabs>
        <w:spacing w:line="276" w:lineRule="auto"/>
        <w:contextualSpacing/>
        <w:jc w:val="center"/>
        <w:rPr>
          <w:rFonts w:eastAsiaTheme="minorHAnsi"/>
          <w:lang w:eastAsia="en-US"/>
        </w:rPr>
      </w:pPr>
      <w:r w:rsidRPr="00D62F5A">
        <w:rPr>
          <w:rFonts w:eastAsiaTheme="minorHAnsi"/>
          <w:lang w:eastAsia="en-US"/>
        </w:rPr>
        <w:t>(veidlapa)</w:t>
      </w:r>
    </w:p>
    <w:p w14:paraId="1B146A5D" w14:textId="77777777" w:rsidR="00D62F5A" w:rsidRPr="00D62F5A" w:rsidRDefault="00D62F5A" w:rsidP="006874F5">
      <w:pPr>
        <w:tabs>
          <w:tab w:val="left" w:pos="1134"/>
        </w:tabs>
        <w:spacing w:line="276" w:lineRule="auto"/>
        <w:ind w:left="567"/>
        <w:contextualSpacing/>
        <w:jc w:val="right"/>
        <w:rPr>
          <w:rFonts w:eastAsiaTheme="minorHAnsi"/>
          <w:lang w:eastAsia="en-US"/>
        </w:rPr>
      </w:pPr>
    </w:p>
    <w:p w14:paraId="79412B41" w14:textId="77777777" w:rsidR="00D62F5A" w:rsidRPr="00D62F5A" w:rsidRDefault="00D62F5A" w:rsidP="006874F5">
      <w:pPr>
        <w:tabs>
          <w:tab w:val="left" w:pos="142"/>
        </w:tabs>
        <w:spacing w:line="276" w:lineRule="auto"/>
        <w:contextualSpacing/>
        <w:jc w:val="center"/>
        <w:rPr>
          <w:rFonts w:eastAsiaTheme="minorHAnsi"/>
          <w:b/>
          <w:lang w:eastAsia="en-US"/>
        </w:rPr>
      </w:pPr>
      <w:r w:rsidRPr="00D62F5A">
        <w:rPr>
          <w:rFonts w:eastAsiaTheme="minorHAnsi"/>
          <w:b/>
          <w:lang w:eastAsia="en-US"/>
        </w:rPr>
        <w:t>________________________________________________________</w:t>
      </w:r>
    </w:p>
    <w:p w14:paraId="542542AA" w14:textId="77777777" w:rsidR="00D62F5A" w:rsidRPr="00D62F5A" w:rsidRDefault="00D62F5A" w:rsidP="006874F5">
      <w:pPr>
        <w:tabs>
          <w:tab w:val="left" w:pos="142"/>
        </w:tabs>
        <w:spacing w:line="276" w:lineRule="auto"/>
        <w:contextualSpacing/>
        <w:jc w:val="center"/>
        <w:rPr>
          <w:rFonts w:eastAsiaTheme="minorHAnsi"/>
          <w:lang w:eastAsia="en-US"/>
        </w:rPr>
      </w:pPr>
      <w:r w:rsidRPr="00D62F5A">
        <w:rPr>
          <w:rFonts w:eastAsiaTheme="minorHAnsi"/>
          <w:lang w:eastAsia="en-US"/>
        </w:rPr>
        <w:t>(norāda pretendenta nosaukumu un reģistrācijas Nr.)</w:t>
      </w:r>
    </w:p>
    <w:p w14:paraId="347B5CE2" w14:textId="77777777" w:rsidR="00D62F5A" w:rsidRPr="00D62F5A" w:rsidRDefault="00D62F5A" w:rsidP="006874F5">
      <w:pPr>
        <w:tabs>
          <w:tab w:val="left" w:pos="142"/>
        </w:tabs>
        <w:spacing w:line="276" w:lineRule="auto"/>
        <w:contextualSpacing/>
        <w:jc w:val="center"/>
        <w:rPr>
          <w:rFonts w:eastAsiaTheme="minorHAnsi"/>
          <w:lang w:eastAsia="en-US"/>
        </w:rPr>
      </w:pPr>
    </w:p>
    <w:p w14:paraId="7BA71DDE" w14:textId="2127B098" w:rsidR="00D62F5A" w:rsidRPr="00D62F5A" w:rsidRDefault="00AB553E" w:rsidP="006874F5">
      <w:pPr>
        <w:tabs>
          <w:tab w:val="left" w:pos="142"/>
        </w:tabs>
        <w:spacing w:line="276" w:lineRule="auto"/>
        <w:contextualSpacing/>
        <w:jc w:val="center"/>
        <w:rPr>
          <w:rFonts w:eastAsiaTheme="minorHAnsi"/>
          <w:b/>
          <w:lang w:eastAsia="en-US"/>
        </w:rPr>
      </w:pPr>
      <w:r>
        <w:rPr>
          <w:rFonts w:eastAsiaTheme="minorHAnsi"/>
          <w:b/>
          <w:lang w:eastAsia="en-US"/>
        </w:rPr>
        <w:t>F</w:t>
      </w:r>
      <w:r w:rsidR="00D62F5A" w:rsidRPr="00D62F5A">
        <w:rPr>
          <w:rFonts w:eastAsiaTheme="minorHAnsi"/>
          <w:b/>
          <w:lang w:eastAsia="en-US"/>
        </w:rPr>
        <w:t>inanšu piedāvājums</w:t>
      </w:r>
    </w:p>
    <w:p w14:paraId="5531D0B2" w14:textId="77777777" w:rsidR="00D62F5A" w:rsidRPr="00D62F5A" w:rsidRDefault="00D62F5A" w:rsidP="006874F5">
      <w:pPr>
        <w:tabs>
          <w:tab w:val="left" w:pos="142"/>
        </w:tabs>
        <w:spacing w:line="276" w:lineRule="auto"/>
        <w:contextualSpacing/>
        <w:jc w:val="center"/>
        <w:rPr>
          <w:rFonts w:eastAsiaTheme="minorHAnsi"/>
          <w:b/>
          <w:lang w:eastAsia="en-US"/>
        </w:rPr>
      </w:pPr>
      <w:r w:rsidRPr="00D62F5A">
        <w:rPr>
          <w:rFonts w:eastAsiaTheme="minorHAnsi"/>
          <w:b/>
          <w:lang w:eastAsia="en-US"/>
        </w:rPr>
        <w:t xml:space="preserve">Izglītības un zinātnes ministrijas ēkas Rīgā, Vaļņu ielā 2 evakuācijas ceļos esošo durvju aprīkošanai ar durvju </w:t>
      </w:r>
      <w:proofErr w:type="spellStart"/>
      <w:r w:rsidRPr="00D62F5A">
        <w:rPr>
          <w:rFonts w:eastAsiaTheme="minorHAnsi"/>
          <w:b/>
          <w:lang w:eastAsia="en-US"/>
        </w:rPr>
        <w:t>pašaizveres</w:t>
      </w:r>
      <w:proofErr w:type="spellEnd"/>
      <w:r w:rsidRPr="00D62F5A">
        <w:rPr>
          <w:rFonts w:eastAsiaTheme="minorHAnsi"/>
          <w:b/>
          <w:lang w:eastAsia="en-US"/>
        </w:rPr>
        <w:t xml:space="preserve"> mehānismiem</w:t>
      </w:r>
    </w:p>
    <w:p w14:paraId="73203106" w14:textId="77777777" w:rsidR="00D62F5A" w:rsidRPr="00D62F5A" w:rsidRDefault="00D62F5A" w:rsidP="006874F5">
      <w:pPr>
        <w:tabs>
          <w:tab w:val="left" w:pos="142"/>
        </w:tabs>
        <w:spacing w:line="276" w:lineRule="auto"/>
        <w:contextualSpacing/>
        <w:jc w:val="center"/>
        <w:rPr>
          <w:rFonts w:eastAsiaTheme="minorHAnsi"/>
          <w:lang w:eastAsia="en-US"/>
        </w:rPr>
      </w:pPr>
    </w:p>
    <w:p w14:paraId="3740E274" w14:textId="77777777" w:rsidR="00D62F5A" w:rsidRPr="00D62F5A" w:rsidRDefault="00D62F5A" w:rsidP="006874F5">
      <w:pPr>
        <w:tabs>
          <w:tab w:val="left" w:pos="142"/>
        </w:tabs>
        <w:spacing w:line="276" w:lineRule="auto"/>
        <w:contextualSpacing/>
        <w:jc w:val="center"/>
        <w:rPr>
          <w:rFonts w:eastAsiaTheme="minorHAnsi"/>
          <w:b/>
          <w:lang w:eastAsia="en-US"/>
        </w:rPr>
      </w:pPr>
    </w:p>
    <w:p w14:paraId="4F3C5BE6" w14:textId="77777777" w:rsidR="00D62F5A" w:rsidRPr="00D62F5A" w:rsidRDefault="00D62F5A" w:rsidP="006874F5">
      <w:pPr>
        <w:tabs>
          <w:tab w:val="left" w:pos="142"/>
        </w:tabs>
        <w:spacing w:line="276" w:lineRule="auto"/>
        <w:contextualSpacing/>
        <w:jc w:val="both"/>
        <w:rPr>
          <w:rFonts w:eastAsiaTheme="minorHAnsi"/>
          <w:lang w:eastAsia="en-US"/>
        </w:rPr>
      </w:pPr>
    </w:p>
    <w:p w14:paraId="599E65A3" w14:textId="77777777" w:rsidR="00D62F5A" w:rsidRPr="00D62F5A" w:rsidRDefault="00D62F5A" w:rsidP="006874F5">
      <w:pPr>
        <w:tabs>
          <w:tab w:val="left" w:pos="142"/>
        </w:tabs>
        <w:spacing w:line="276" w:lineRule="auto"/>
        <w:contextualSpacing/>
        <w:jc w:val="both"/>
        <w:rPr>
          <w:rFonts w:eastAsiaTheme="minorHAnsi"/>
          <w:lang w:eastAsia="en-US"/>
        </w:rPr>
      </w:pPr>
      <w:r w:rsidRPr="00D62F5A">
        <w:rPr>
          <w:rFonts w:eastAsiaTheme="minorHAnsi"/>
          <w:lang w:eastAsia="en-US"/>
        </w:rPr>
        <w:t>Rīgā, 2021.gada ___. _________________</w:t>
      </w:r>
    </w:p>
    <w:p w14:paraId="2CAE0B50" w14:textId="77777777" w:rsidR="00D62F5A" w:rsidRPr="00D62F5A" w:rsidRDefault="00D62F5A" w:rsidP="006874F5">
      <w:pPr>
        <w:tabs>
          <w:tab w:val="left" w:pos="142"/>
        </w:tabs>
        <w:spacing w:line="276" w:lineRule="auto"/>
        <w:contextualSpacing/>
        <w:jc w:val="both"/>
        <w:rPr>
          <w:rFonts w:eastAsiaTheme="minorHAnsi"/>
          <w:lang w:eastAsia="en-US"/>
        </w:rPr>
      </w:pPr>
    </w:p>
    <w:p w14:paraId="2BF4C186" w14:textId="77777777" w:rsidR="00D62F5A" w:rsidRPr="00D62F5A" w:rsidRDefault="00D62F5A" w:rsidP="006874F5">
      <w:pPr>
        <w:tabs>
          <w:tab w:val="left" w:pos="142"/>
        </w:tabs>
        <w:spacing w:line="276" w:lineRule="auto"/>
        <w:contextualSpacing/>
        <w:jc w:val="both"/>
        <w:rPr>
          <w:rFonts w:eastAsiaTheme="minorHAnsi"/>
          <w:lang w:eastAsia="en-US"/>
        </w:rPr>
      </w:pPr>
    </w:p>
    <w:p w14:paraId="67B0F3C4" w14:textId="77777777" w:rsidR="00D62F5A" w:rsidRPr="00D62F5A" w:rsidRDefault="00D62F5A" w:rsidP="006874F5">
      <w:pPr>
        <w:tabs>
          <w:tab w:val="left" w:pos="142"/>
        </w:tabs>
        <w:spacing w:line="276" w:lineRule="auto"/>
        <w:contextualSpacing/>
        <w:jc w:val="both"/>
        <w:rPr>
          <w:rFonts w:eastAsiaTheme="minorHAnsi"/>
          <w:lang w:eastAsia="en-US"/>
        </w:rPr>
      </w:pPr>
    </w:p>
    <w:p w14:paraId="0A8487FD" w14:textId="77777777" w:rsidR="00D62F5A" w:rsidRPr="00D62F5A" w:rsidRDefault="00D62F5A" w:rsidP="006874F5">
      <w:pPr>
        <w:tabs>
          <w:tab w:val="left" w:pos="142"/>
        </w:tabs>
        <w:spacing w:line="276" w:lineRule="auto"/>
        <w:contextualSpacing/>
        <w:jc w:val="both"/>
        <w:rPr>
          <w:rFonts w:eastAsiaTheme="minorHAnsi"/>
          <w:b/>
          <w:lang w:eastAsia="en-US"/>
        </w:rPr>
      </w:pPr>
      <w:r w:rsidRPr="00D62F5A">
        <w:rPr>
          <w:rFonts w:eastAsiaTheme="minorHAnsi"/>
          <w:b/>
          <w:lang w:eastAsia="en-US"/>
        </w:rPr>
        <w:t>Kopējās pakalpojuma izmaksas: EUR ________ (bez PVN).</w:t>
      </w:r>
    </w:p>
    <w:p w14:paraId="1961A9F6" w14:textId="77777777" w:rsidR="00D62F5A" w:rsidRPr="00D62F5A" w:rsidRDefault="00D62F5A" w:rsidP="006874F5">
      <w:pPr>
        <w:tabs>
          <w:tab w:val="left" w:pos="142"/>
        </w:tabs>
        <w:spacing w:line="276" w:lineRule="auto"/>
        <w:contextualSpacing/>
        <w:jc w:val="both"/>
        <w:rPr>
          <w:rFonts w:eastAsiaTheme="minorHAnsi"/>
          <w:b/>
          <w:lang w:eastAsia="en-US"/>
        </w:rPr>
      </w:pPr>
    </w:p>
    <w:p w14:paraId="52C20CEC" w14:textId="77777777" w:rsidR="00D62F5A" w:rsidRPr="00D62F5A" w:rsidRDefault="00D62F5A" w:rsidP="006874F5">
      <w:pPr>
        <w:tabs>
          <w:tab w:val="left" w:pos="142"/>
        </w:tabs>
        <w:spacing w:line="276" w:lineRule="auto"/>
        <w:contextualSpacing/>
        <w:jc w:val="both"/>
        <w:rPr>
          <w:rFonts w:eastAsiaTheme="minorHAnsi"/>
          <w:b/>
          <w:lang w:eastAsia="en-US"/>
        </w:rPr>
      </w:pPr>
      <w:r w:rsidRPr="00D62F5A">
        <w:rPr>
          <w:rFonts w:eastAsiaTheme="minorHAnsi"/>
          <w:b/>
          <w:lang w:eastAsia="en-US"/>
        </w:rPr>
        <w:t>Pretendenta pieredze līdzvērtīgu pasūtījumu izpildē:</w:t>
      </w:r>
    </w:p>
    <w:p w14:paraId="7976894E" w14:textId="77777777" w:rsidR="00D62F5A" w:rsidRPr="00D62F5A" w:rsidRDefault="00D62F5A" w:rsidP="006874F5">
      <w:pPr>
        <w:tabs>
          <w:tab w:val="left" w:pos="142"/>
        </w:tabs>
        <w:spacing w:line="276" w:lineRule="auto"/>
        <w:contextualSpacing/>
        <w:jc w:val="both"/>
        <w:rPr>
          <w:rFonts w:eastAsiaTheme="minorHAnsi"/>
          <w:b/>
          <w:lang w:eastAsia="en-US"/>
        </w:rPr>
      </w:pPr>
      <w:r w:rsidRPr="00D62F5A">
        <w:rPr>
          <w:rFonts w:eastAsiaTheme="minorHAnsi"/>
          <w:b/>
          <w:lang w:eastAsia="en-US"/>
        </w:rPr>
        <w:t>______________________________________________________________________________________________________________________________________________</w:t>
      </w:r>
    </w:p>
    <w:p w14:paraId="537E71CA" w14:textId="77777777" w:rsidR="00D62F5A" w:rsidRPr="00D62F5A" w:rsidRDefault="00D62F5A" w:rsidP="006874F5">
      <w:pPr>
        <w:tabs>
          <w:tab w:val="left" w:pos="142"/>
        </w:tabs>
        <w:spacing w:line="276" w:lineRule="auto"/>
        <w:contextualSpacing/>
        <w:jc w:val="center"/>
        <w:rPr>
          <w:rFonts w:eastAsiaTheme="minorHAnsi"/>
          <w:lang w:eastAsia="en-US"/>
        </w:rPr>
      </w:pPr>
      <w:r w:rsidRPr="00D62F5A">
        <w:rPr>
          <w:rFonts w:eastAsiaTheme="minorHAnsi"/>
          <w:lang w:eastAsia="en-US"/>
        </w:rPr>
        <w:t>(norāda pasūtītāja nosaukumu, tālruņa Nr., pakalpojuma izpildes veidu un vietu)</w:t>
      </w:r>
    </w:p>
    <w:p w14:paraId="34E04759" w14:textId="77777777" w:rsidR="00D62F5A" w:rsidRPr="00D62F5A" w:rsidRDefault="00D62F5A" w:rsidP="006874F5">
      <w:pPr>
        <w:tabs>
          <w:tab w:val="left" w:pos="142"/>
        </w:tabs>
        <w:spacing w:line="276" w:lineRule="auto"/>
        <w:contextualSpacing/>
        <w:jc w:val="both"/>
        <w:rPr>
          <w:rFonts w:eastAsiaTheme="minorHAnsi"/>
          <w:b/>
          <w:lang w:eastAsia="en-US"/>
        </w:rPr>
      </w:pPr>
    </w:p>
    <w:p w14:paraId="1B1DE991" w14:textId="77777777" w:rsidR="00D62F5A" w:rsidRPr="00D62F5A" w:rsidRDefault="00D62F5A" w:rsidP="006874F5">
      <w:pPr>
        <w:tabs>
          <w:tab w:val="left" w:pos="142"/>
        </w:tabs>
        <w:spacing w:line="276" w:lineRule="auto"/>
        <w:contextualSpacing/>
        <w:jc w:val="both"/>
        <w:rPr>
          <w:rFonts w:eastAsiaTheme="minorHAnsi"/>
          <w:b/>
          <w:lang w:eastAsia="en-US"/>
        </w:rPr>
      </w:pPr>
    </w:p>
    <w:p w14:paraId="6596170C" w14:textId="77777777" w:rsidR="00D62F5A" w:rsidRPr="00D62F5A" w:rsidRDefault="00D62F5A" w:rsidP="006874F5">
      <w:pPr>
        <w:tabs>
          <w:tab w:val="left" w:pos="142"/>
        </w:tabs>
        <w:spacing w:line="276" w:lineRule="auto"/>
        <w:contextualSpacing/>
        <w:jc w:val="both"/>
        <w:rPr>
          <w:rFonts w:eastAsiaTheme="minorHAnsi"/>
          <w:b/>
          <w:lang w:eastAsia="en-US"/>
        </w:rPr>
      </w:pPr>
    </w:p>
    <w:p w14:paraId="49FF0A1D" w14:textId="77777777" w:rsidR="00D62F5A" w:rsidRPr="00D62F5A" w:rsidRDefault="00D62F5A" w:rsidP="006874F5">
      <w:pPr>
        <w:tabs>
          <w:tab w:val="left" w:pos="142"/>
        </w:tabs>
        <w:spacing w:line="276" w:lineRule="auto"/>
        <w:contextualSpacing/>
        <w:jc w:val="both"/>
        <w:rPr>
          <w:rFonts w:eastAsiaTheme="minorHAnsi"/>
          <w:lang w:eastAsia="en-US"/>
        </w:rPr>
      </w:pPr>
      <w:r w:rsidRPr="00D62F5A">
        <w:rPr>
          <w:rFonts w:eastAsiaTheme="minorHAnsi"/>
          <w:lang w:eastAsia="en-US"/>
        </w:rPr>
        <w:t>Apliecinām, ka finanšu piedāvājums ir sastādīts atbilstoši tehniskās specifikācijas prasībām.</w:t>
      </w:r>
    </w:p>
    <w:p w14:paraId="5833E3CF" w14:textId="77777777" w:rsidR="00D62F5A" w:rsidRPr="00D62F5A" w:rsidRDefault="00D62F5A" w:rsidP="006874F5">
      <w:pPr>
        <w:tabs>
          <w:tab w:val="left" w:pos="142"/>
        </w:tabs>
        <w:spacing w:line="276" w:lineRule="auto"/>
        <w:contextualSpacing/>
        <w:jc w:val="both"/>
        <w:rPr>
          <w:rFonts w:eastAsiaTheme="minorHAnsi"/>
          <w:lang w:eastAsia="en-US"/>
        </w:rPr>
      </w:pPr>
      <w:r w:rsidRPr="00D62F5A">
        <w:rPr>
          <w:rFonts w:eastAsiaTheme="minorHAnsi"/>
          <w:lang w:eastAsia="en-US"/>
        </w:rPr>
        <w:t>Pakalpojuma piedāvājuma izmaksas ir spēkā 30 dienas no piedāvājuma iesniegšanas dienas.</w:t>
      </w:r>
    </w:p>
    <w:p w14:paraId="126BACDF" w14:textId="1AE0A3DA" w:rsidR="006874F5" w:rsidRPr="006874F5" w:rsidRDefault="006874F5" w:rsidP="006874F5">
      <w:pPr>
        <w:spacing w:line="276" w:lineRule="auto"/>
        <w:rPr>
          <w:b/>
        </w:rPr>
      </w:pPr>
    </w:p>
    <w:p w14:paraId="01B36A5A" w14:textId="6CF44762" w:rsidR="006874F5" w:rsidRPr="006874F5" w:rsidRDefault="006874F5" w:rsidP="006874F5">
      <w:pPr>
        <w:spacing w:before="240" w:after="160" w:line="276" w:lineRule="auto"/>
        <w:ind w:left="340" w:hanging="340"/>
        <w:rPr>
          <w:rFonts w:eastAsiaTheme="minorHAnsi"/>
          <w:u w:val="single"/>
          <w:lang w:eastAsia="en-US"/>
        </w:rPr>
      </w:pPr>
      <w:r w:rsidRPr="006874F5">
        <w:rPr>
          <w:rFonts w:eastAsiaTheme="minorHAnsi"/>
          <w:lang w:eastAsia="en-US"/>
        </w:rPr>
        <w:t>Paraksts</w:t>
      </w:r>
      <w:r w:rsidRPr="006874F5">
        <w:rPr>
          <w:rFonts w:eastAsiaTheme="minorHAnsi"/>
          <w:vertAlign w:val="superscript"/>
          <w:lang w:eastAsia="en-US"/>
        </w:rPr>
        <w:footnoteReference w:id="1"/>
      </w:r>
      <w:r w:rsidRPr="006874F5">
        <w:rPr>
          <w:rFonts w:eastAsiaTheme="minorHAnsi"/>
          <w:lang w:eastAsia="en-US"/>
        </w:rPr>
        <w:t>: ____________</w:t>
      </w:r>
    </w:p>
    <w:p w14:paraId="5B03A6EE" w14:textId="7777CAF9" w:rsidR="006874F5" w:rsidRPr="006874F5" w:rsidRDefault="006874F5" w:rsidP="006874F5">
      <w:pPr>
        <w:spacing w:before="240" w:after="160" w:line="276" w:lineRule="auto"/>
        <w:ind w:left="340" w:hanging="340"/>
        <w:rPr>
          <w:rFonts w:eastAsiaTheme="minorHAnsi"/>
          <w:u w:val="single"/>
          <w:lang w:eastAsia="en-US"/>
        </w:rPr>
        <w:sectPr w:rsidR="006874F5" w:rsidRPr="006874F5" w:rsidSect="00BE1E79">
          <w:pgSz w:w="11906" w:h="16838"/>
          <w:pgMar w:top="1418" w:right="1134" w:bottom="1134" w:left="1701" w:header="709" w:footer="709" w:gutter="0"/>
          <w:cols w:space="708"/>
          <w:docGrid w:linePitch="360"/>
        </w:sectPr>
      </w:pPr>
      <w:r w:rsidRPr="006874F5">
        <w:rPr>
          <w:rFonts w:eastAsiaTheme="minorHAnsi"/>
          <w:lang w:eastAsia="en-US"/>
        </w:rPr>
        <w:t>Datums</w:t>
      </w:r>
      <w:r w:rsidRPr="006874F5">
        <w:rPr>
          <w:rFonts w:eastAsiaTheme="minorHAnsi"/>
          <w:vertAlign w:val="superscript"/>
          <w:lang w:eastAsia="en-US"/>
        </w:rPr>
        <w:footnoteReference w:id="2"/>
      </w:r>
      <w:r w:rsidRPr="006874F5">
        <w:rPr>
          <w:rFonts w:eastAsiaTheme="minorHAnsi"/>
          <w:lang w:eastAsia="en-US"/>
        </w:rPr>
        <w:t>: _____________</w:t>
      </w:r>
    </w:p>
    <w:p w14:paraId="62F7472F" w14:textId="77777777" w:rsidR="00F76BC7" w:rsidRPr="006874F5" w:rsidRDefault="00F76BC7" w:rsidP="006874F5">
      <w:pPr>
        <w:spacing w:before="240" w:after="160" w:line="276" w:lineRule="auto"/>
        <w:rPr>
          <w:rFonts w:eastAsiaTheme="minorHAnsi"/>
          <w:u w:val="single"/>
          <w:lang w:eastAsia="en-US"/>
        </w:rPr>
      </w:pPr>
    </w:p>
    <w:sectPr w:rsidR="00F76BC7" w:rsidRPr="006874F5" w:rsidSect="009971E3">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A4BC" w14:textId="77777777" w:rsidR="00D0292C" w:rsidRDefault="00D0292C" w:rsidP="0007148C">
      <w:r>
        <w:separator/>
      </w:r>
    </w:p>
  </w:endnote>
  <w:endnote w:type="continuationSeparator" w:id="0">
    <w:p w14:paraId="16E7FF3B" w14:textId="77777777" w:rsidR="00D0292C" w:rsidRDefault="00D0292C" w:rsidP="0007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11B3" w14:textId="77777777" w:rsidR="00D0292C" w:rsidRDefault="00D0292C" w:rsidP="0007148C">
      <w:r>
        <w:separator/>
      </w:r>
    </w:p>
  </w:footnote>
  <w:footnote w:type="continuationSeparator" w:id="0">
    <w:p w14:paraId="24038394" w14:textId="77777777" w:rsidR="00D0292C" w:rsidRDefault="00D0292C" w:rsidP="0007148C">
      <w:r>
        <w:continuationSeparator/>
      </w:r>
    </w:p>
  </w:footnote>
  <w:footnote w:id="1">
    <w:p w14:paraId="3627E70F" w14:textId="77777777" w:rsidR="006874F5" w:rsidRPr="00523B70" w:rsidRDefault="006874F5" w:rsidP="006874F5">
      <w:pPr>
        <w:pStyle w:val="Vresteksts"/>
        <w:rPr>
          <w:sz w:val="18"/>
          <w:szCs w:val="18"/>
        </w:rPr>
      </w:pPr>
      <w:r w:rsidRPr="00523B70">
        <w:rPr>
          <w:rStyle w:val="Vresatsauce"/>
          <w:rFonts w:eastAsia="Calibri"/>
          <w:sz w:val="18"/>
          <w:szCs w:val="18"/>
        </w:rPr>
        <w:footnoteRef/>
      </w:r>
      <w:r w:rsidRPr="00523B70">
        <w:rPr>
          <w:sz w:val="18"/>
          <w:szCs w:val="18"/>
        </w:rPr>
        <w:t xml:space="preserve"> Neaizpilda, ja dokuments tiek parakstīts ar drošu elektronisko parakstu.</w:t>
      </w:r>
    </w:p>
  </w:footnote>
  <w:footnote w:id="2">
    <w:p w14:paraId="33D7F8D3" w14:textId="77777777" w:rsidR="006874F5" w:rsidRPr="00523B70" w:rsidRDefault="006874F5" w:rsidP="006874F5">
      <w:pPr>
        <w:pStyle w:val="Vresteksts"/>
        <w:rPr>
          <w:sz w:val="18"/>
          <w:szCs w:val="18"/>
        </w:rPr>
      </w:pPr>
      <w:r w:rsidRPr="00523B70">
        <w:rPr>
          <w:rStyle w:val="Vresatsauce"/>
          <w:rFonts w:eastAsia="Calibri"/>
          <w:sz w:val="18"/>
          <w:szCs w:val="18"/>
        </w:rPr>
        <w:footnoteRef/>
      </w:r>
      <w:r w:rsidRPr="00523B70">
        <w:rPr>
          <w:sz w:val="18"/>
          <w:szCs w:val="18"/>
        </w:rPr>
        <w:t xml:space="preserve"> </w:t>
      </w:r>
      <w:r w:rsidRPr="00523B70">
        <w:rPr>
          <w:sz w:val="18"/>
          <w:szCs w:val="18"/>
        </w:rPr>
        <w:t>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B8F"/>
    <w:multiLevelType w:val="multilevel"/>
    <w:tmpl w:val="44C22852"/>
    <w:lvl w:ilvl="0">
      <w:start w:val="2"/>
      <w:numFmt w:val="decimal"/>
      <w:lvlText w:val="%1."/>
      <w:lvlJc w:val="left"/>
      <w:pPr>
        <w:ind w:left="360" w:hanging="360"/>
      </w:pPr>
      <w:rPr>
        <w:rFonts w:hint="default"/>
        <w:b/>
        <w:bCs/>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04137883"/>
    <w:multiLevelType w:val="hybridMultilevel"/>
    <w:tmpl w:val="0F84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D46C6"/>
    <w:multiLevelType w:val="multilevel"/>
    <w:tmpl w:val="C664994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 w15:restartNumberingAfterBreak="0">
    <w:nsid w:val="12FD32FA"/>
    <w:multiLevelType w:val="multilevel"/>
    <w:tmpl w:val="B7FCE2A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247706"/>
    <w:multiLevelType w:val="hybridMultilevel"/>
    <w:tmpl w:val="85DCA7B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B84067"/>
    <w:multiLevelType w:val="hybridMultilevel"/>
    <w:tmpl w:val="B732AE8E"/>
    <w:lvl w:ilvl="0" w:tplc="61EE84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B0C40"/>
    <w:multiLevelType w:val="multilevel"/>
    <w:tmpl w:val="5818290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BC4655D"/>
    <w:multiLevelType w:val="multilevel"/>
    <w:tmpl w:val="089CBC0E"/>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90135D"/>
    <w:multiLevelType w:val="hybridMultilevel"/>
    <w:tmpl w:val="AA9C9F2C"/>
    <w:lvl w:ilvl="0" w:tplc="A880CC1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3D1F44"/>
    <w:multiLevelType w:val="multilevel"/>
    <w:tmpl w:val="C1CC455A"/>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FB4925"/>
    <w:multiLevelType w:val="multilevel"/>
    <w:tmpl w:val="698215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A16473A"/>
    <w:multiLevelType w:val="multilevel"/>
    <w:tmpl w:val="EAFA1C6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2" w15:restartNumberingAfterBreak="0">
    <w:nsid w:val="2DF438A9"/>
    <w:multiLevelType w:val="hybridMultilevel"/>
    <w:tmpl w:val="C0DA156E"/>
    <w:lvl w:ilvl="0" w:tplc="622E06B0">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D67697"/>
    <w:multiLevelType w:val="hybridMultilevel"/>
    <w:tmpl w:val="104441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5E5124"/>
    <w:multiLevelType w:val="hybridMultilevel"/>
    <w:tmpl w:val="02ACBADC"/>
    <w:lvl w:ilvl="0" w:tplc="CE2E4D2C">
      <w:start w:val="1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F0F5FA8"/>
    <w:multiLevelType w:val="multilevel"/>
    <w:tmpl w:val="B03C9E8C"/>
    <w:lvl w:ilvl="0">
      <w:start w:val="1"/>
      <w:numFmt w:val="decimal"/>
      <w:lvlText w:val="%1."/>
      <w:lvlJc w:val="left"/>
      <w:pPr>
        <w:ind w:left="786" w:hanging="360"/>
      </w:pPr>
      <w:rPr>
        <w:rFonts w:hint="default"/>
        <w:b/>
        <w:i w:val="0"/>
      </w:rPr>
    </w:lvl>
    <w:lvl w:ilvl="1">
      <w:start w:val="1"/>
      <w:numFmt w:val="decimal"/>
      <w:isLgl/>
      <w:lvlText w:val="%1.%2."/>
      <w:lvlJc w:val="left"/>
      <w:pPr>
        <w:ind w:left="1221" w:hanging="360"/>
      </w:pPr>
      <w:rPr>
        <w:rFonts w:hint="default"/>
        <w:b w:val="0"/>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6" w15:restartNumberingAfterBreak="0">
    <w:nsid w:val="40A65FA1"/>
    <w:multiLevelType w:val="multilevel"/>
    <w:tmpl w:val="116CBBA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077AE3"/>
    <w:multiLevelType w:val="multilevel"/>
    <w:tmpl w:val="04A22DBC"/>
    <w:lvl w:ilvl="0">
      <w:start w:val="1"/>
      <w:numFmt w:val="decimal"/>
      <w:pStyle w:val="VIRSRAKSTS"/>
      <w:lvlText w:val="%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MENIS"/>
      <w:isLgl/>
      <w:lvlText w:val="%1.%2."/>
      <w:lvlJc w:val="left"/>
      <w:pPr>
        <w:ind w:left="1004"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IMENIS"/>
      <w:isLgl/>
      <w:lvlText w:val="%1.%2.%3."/>
      <w:lvlJc w:val="left"/>
      <w:pPr>
        <w:ind w:left="1506"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IMENIS"/>
      <w:isLgl/>
      <w:lvlText w:val="%1.%2.%3.%4."/>
      <w:lvlJc w:val="left"/>
      <w:pPr>
        <w:ind w:left="1931"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8" w15:restartNumberingAfterBreak="0">
    <w:nsid w:val="6827776E"/>
    <w:multiLevelType w:val="hybridMultilevel"/>
    <w:tmpl w:val="F0C44D10"/>
    <w:lvl w:ilvl="0" w:tplc="A880CC1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E32746"/>
    <w:multiLevelType w:val="hybridMultilevel"/>
    <w:tmpl w:val="70063A5C"/>
    <w:lvl w:ilvl="0" w:tplc="00DEB0C2">
      <w:start w:val="1"/>
      <w:numFmt w:val="decimal"/>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4B31E5"/>
    <w:multiLevelType w:val="hybridMultilevel"/>
    <w:tmpl w:val="4AA28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93685E"/>
    <w:multiLevelType w:val="hybridMultilevel"/>
    <w:tmpl w:val="83245D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20"/>
  </w:num>
  <w:num w:numId="5">
    <w:abstractNumId w:val="8"/>
  </w:num>
  <w:num w:numId="6">
    <w:abstractNumId w:val="18"/>
  </w:num>
  <w:num w:numId="7">
    <w:abstractNumId w:val="11"/>
  </w:num>
  <w:num w:numId="8">
    <w:abstractNumId w:val="9"/>
  </w:num>
  <w:num w:numId="9">
    <w:abstractNumId w:val="13"/>
  </w:num>
  <w:num w:numId="10">
    <w:abstractNumId w:val="4"/>
  </w:num>
  <w:num w:numId="11">
    <w:abstractNumId w:val="17"/>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2"/>
  </w:num>
  <w:num w:numId="17">
    <w:abstractNumId w:val="14"/>
  </w:num>
  <w:num w:numId="18">
    <w:abstractNumId w:val="3"/>
  </w:num>
  <w:num w:numId="19">
    <w:abstractNumId w:val="5"/>
  </w:num>
  <w:num w:numId="20">
    <w:abstractNumId w:val="16"/>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28"/>
    <w:rsid w:val="00000706"/>
    <w:rsid w:val="000040BD"/>
    <w:rsid w:val="0001172A"/>
    <w:rsid w:val="000270D7"/>
    <w:rsid w:val="00043A77"/>
    <w:rsid w:val="000441B7"/>
    <w:rsid w:val="00050B94"/>
    <w:rsid w:val="00053D47"/>
    <w:rsid w:val="00062B29"/>
    <w:rsid w:val="0007088F"/>
    <w:rsid w:val="0007148C"/>
    <w:rsid w:val="00073CB7"/>
    <w:rsid w:val="00074A25"/>
    <w:rsid w:val="00076C32"/>
    <w:rsid w:val="00095D9A"/>
    <w:rsid w:val="000A6B2C"/>
    <w:rsid w:val="000B0E44"/>
    <w:rsid w:val="000B57B8"/>
    <w:rsid w:val="000B76D4"/>
    <w:rsid w:val="000B7F28"/>
    <w:rsid w:val="000C2114"/>
    <w:rsid w:val="000D1205"/>
    <w:rsid w:val="000D5CFB"/>
    <w:rsid w:val="000D5E1C"/>
    <w:rsid w:val="000E6283"/>
    <w:rsid w:val="000F75EB"/>
    <w:rsid w:val="001063D2"/>
    <w:rsid w:val="00106E27"/>
    <w:rsid w:val="001131A3"/>
    <w:rsid w:val="00115B9D"/>
    <w:rsid w:val="00122719"/>
    <w:rsid w:val="001301CC"/>
    <w:rsid w:val="0015062E"/>
    <w:rsid w:val="00152EAB"/>
    <w:rsid w:val="00171F6F"/>
    <w:rsid w:val="00173A33"/>
    <w:rsid w:val="00181798"/>
    <w:rsid w:val="00183899"/>
    <w:rsid w:val="00186E57"/>
    <w:rsid w:val="00191269"/>
    <w:rsid w:val="001A64CE"/>
    <w:rsid w:val="001A7FC5"/>
    <w:rsid w:val="001C0C57"/>
    <w:rsid w:val="001C3BB9"/>
    <w:rsid w:val="001C5147"/>
    <w:rsid w:val="001C7B39"/>
    <w:rsid w:val="001D2C8A"/>
    <w:rsid w:val="001D48A2"/>
    <w:rsid w:val="001F5C11"/>
    <w:rsid w:val="00222BFD"/>
    <w:rsid w:val="00226900"/>
    <w:rsid w:val="002331C4"/>
    <w:rsid w:val="0024482A"/>
    <w:rsid w:val="00245622"/>
    <w:rsid w:val="002514E1"/>
    <w:rsid w:val="00265D64"/>
    <w:rsid w:val="00266737"/>
    <w:rsid w:val="0027648D"/>
    <w:rsid w:val="002A58DF"/>
    <w:rsid w:val="002C737B"/>
    <w:rsid w:val="002D0A7F"/>
    <w:rsid w:val="002F7B30"/>
    <w:rsid w:val="003146DF"/>
    <w:rsid w:val="003222D4"/>
    <w:rsid w:val="00356DD6"/>
    <w:rsid w:val="00357740"/>
    <w:rsid w:val="00371507"/>
    <w:rsid w:val="00371792"/>
    <w:rsid w:val="00371D95"/>
    <w:rsid w:val="00372CEA"/>
    <w:rsid w:val="003763FB"/>
    <w:rsid w:val="00394DA4"/>
    <w:rsid w:val="003A5157"/>
    <w:rsid w:val="003A59C0"/>
    <w:rsid w:val="003A7667"/>
    <w:rsid w:val="003C09C9"/>
    <w:rsid w:val="003D599C"/>
    <w:rsid w:val="003E5A63"/>
    <w:rsid w:val="003F226A"/>
    <w:rsid w:val="003F4095"/>
    <w:rsid w:val="00416D59"/>
    <w:rsid w:val="004374E4"/>
    <w:rsid w:val="004432C0"/>
    <w:rsid w:val="00447655"/>
    <w:rsid w:val="00481FBB"/>
    <w:rsid w:val="0048347F"/>
    <w:rsid w:val="00491979"/>
    <w:rsid w:val="004C5DBF"/>
    <w:rsid w:val="004D0942"/>
    <w:rsid w:val="004D0DD1"/>
    <w:rsid w:val="004D2723"/>
    <w:rsid w:val="004E69FA"/>
    <w:rsid w:val="004F3572"/>
    <w:rsid w:val="00501B50"/>
    <w:rsid w:val="00504561"/>
    <w:rsid w:val="005074C1"/>
    <w:rsid w:val="00514DBA"/>
    <w:rsid w:val="005212CA"/>
    <w:rsid w:val="005230AE"/>
    <w:rsid w:val="00523B70"/>
    <w:rsid w:val="00530C75"/>
    <w:rsid w:val="00534A50"/>
    <w:rsid w:val="005606A1"/>
    <w:rsid w:val="00565767"/>
    <w:rsid w:val="00572591"/>
    <w:rsid w:val="005A2BFE"/>
    <w:rsid w:val="005A4342"/>
    <w:rsid w:val="005C0632"/>
    <w:rsid w:val="005C295E"/>
    <w:rsid w:val="005C2B92"/>
    <w:rsid w:val="005D3549"/>
    <w:rsid w:val="005F4051"/>
    <w:rsid w:val="005F4246"/>
    <w:rsid w:val="00600001"/>
    <w:rsid w:val="00623B9E"/>
    <w:rsid w:val="00624FE3"/>
    <w:rsid w:val="0063664A"/>
    <w:rsid w:val="00646E83"/>
    <w:rsid w:val="006526E9"/>
    <w:rsid w:val="00667894"/>
    <w:rsid w:val="00667B37"/>
    <w:rsid w:val="00677681"/>
    <w:rsid w:val="006874F5"/>
    <w:rsid w:val="00694FBB"/>
    <w:rsid w:val="0069647B"/>
    <w:rsid w:val="006A065D"/>
    <w:rsid w:val="006B691C"/>
    <w:rsid w:val="006C2541"/>
    <w:rsid w:val="006C401E"/>
    <w:rsid w:val="006C76A2"/>
    <w:rsid w:val="006D1468"/>
    <w:rsid w:val="006D3EAD"/>
    <w:rsid w:val="006D6FB3"/>
    <w:rsid w:val="006E6102"/>
    <w:rsid w:val="006E6385"/>
    <w:rsid w:val="006F7508"/>
    <w:rsid w:val="0070273E"/>
    <w:rsid w:val="00703415"/>
    <w:rsid w:val="007065EB"/>
    <w:rsid w:val="007231D0"/>
    <w:rsid w:val="007323EB"/>
    <w:rsid w:val="00734601"/>
    <w:rsid w:val="0075732B"/>
    <w:rsid w:val="00762257"/>
    <w:rsid w:val="007708E0"/>
    <w:rsid w:val="007727BD"/>
    <w:rsid w:val="00785DDD"/>
    <w:rsid w:val="007A16DD"/>
    <w:rsid w:val="007B39A2"/>
    <w:rsid w:val="007B790F"/>
    <w:rsid w:val="007B7C44"/>
    <w:rsid w:val="007D23EB"/>
    <w:rsid w:val="007D3A89"/>
    <w:rsid w:val="007F1C9B"/>
    <w:rsid w:val="0080057C"/>
    <w:rsid w:val="0080274F"/>
    <w:rsid w:val="00806E94"/>
    <w:rsid w:val="008100EB"/>
    <w:rsid w:val="00813E8B"/>
    <w:rsid w:val="00814CA1"/>
    <w:rsid w:val="00821C76"/>
    <w:rsid w:val="008269F0"/>
    <w:rsid w:val="00833726"/>
    <w:rsid w:val="00844E32"/>
    <w:rsid w:val="0084577F"/>
    <w:rsid w:val="008576DA"/>
    <w:rsid w:val="008705E4"/>
    <w:rsid w:val="00874F8F"/>
    <w:rsid w:val="00876E8F"/>
    <w:rsid w:val="00883860"/>
    <w:rsid w:val="008927DD"/>
    <w:rsid w:val="008A2448"/>
    <w:rsid w:val="008A254C"/>
    <w:rsid w:val="008B6003"/>
    <w:rsid w:val="008C5A72"/>
    <w:rsid w:val="008C5CD1"/>
    <w:rsid w:val="008D5B25"/>
    <w:rsid w:val="008D627A"/>
    <w:rsid w:val="008D797D"/>
    <w:rsid w:val="008F5F9B"/>
    <w:rsid w:val="008F61C3"/>
    <w:rsid w:val="008F7CE9"/>
    <w:rsid w:val="0090006C"/>
    <w:rsid w:val="00901293"/>
    <w:rsid w:val="009033C8"/>
    <w:rsid w:val="009127AE"/>
    <w:rsid w:val="009149AC"/>
    <w:rsid w:val="009173A1"/>
    <w:rsid w:val="009217E0"/>
    <w:rsid w:val="00922F28"/>
    <w:rsid w:val="0093157F"/>
    <w:rsid w:val="0093683E"/>
    <w:rsid w:val="00950FF6"/>
    <w:rsid w:val="0095286A"/>
    <w:rsid w:val="00954A34"/>
    <w:rsid w:val="0095573E"/>
    <w:rsid w:val="00956156"/>
    <w:rsid w:val="009626D5"/>
    <w:rsid w:val="00965A61"/>
    <w:rsid w:val="009705E5"/>
    <w:rsid w:val="00986FC2"/>
    <w:rsid w:val="009921AD"/>
    <w:rsid w:val="009971E3"/>
    <w:rsid w:val="009A48AF"/>
    <w:rsid w:val="009D0C5A"/>
    <w:rsid w:val="009D57BB"/>
    <w:rsid w:val="009D5C2A"/>
    <w:rsid w:val="009D60F9"/>
    <w:rsid w:val="009E7AA0"/>
    <w:rsid w:val="00A007AE"/>
    <w:rsid w:val="00A11A86"/>
    <w:rsid w:val="00A165A0"/>
    <w:rsid w:val="00A22BD4"/>
    <w:rsid w:val="00A40402"/>
    <w:rsid w:val="00A57759"/>
    <w:rsid w:val="00A63917"/>
    <w:rsid w:val="00A7036E"/>
    <w:rsid w:val="00A70EA4"/>
    <w:rsid w:val="00A774AC"/>
    <w:rsid w:val="00A778D5"/>
    <w:rsid w:val="00A81515"/>
    <w:rsid w:val="00A85C21"/>
    <w:rsid w:val="00AA3011"/>
    <w:rsid w:val="00AA3B13"/>
    <w:rsid w:val="00AA4E41"/>
    <w:rsid w:val="00AB31F0"/>
    <w:rsid w:val="00AB553E"/>
    <w:rsid w:val="00AE2801"/>
    <w:rsid w:val="00AE40EA"/>
    <w:rsid w:val="00AE704F"/>
    <w:rsid w:val="00B03FD6"/>
    <w:rsid w:val="00B219DB"/>
    <w:rsid w:val="00B349FE"/>
    <w:rsid w:val="00B45852"/>
    <w:rsid w:val="00B5598B"/>
    <w:rsid w:val="00B70167"/>
    <w:rsid w:val="00B81A6D"/>
    <w:rsid w:val="00B864C0"/>
    <w:rsid w:val="00B87851"/>
    <w:rsid w:val="00BA39C0"/>
    <w:rsid w:val="00BA5F8E"/>
    <w:rsid w:val="00BB2DD2"/>
    <w:rsid w:val="00BC2907"/>
    <w:rsid w:val="00BE0F0E"/>
    <w:rsid w:val="00BE1E79"/>
    <w:rsid w:val="00BF20BD"/>
    <w:rsid w:val="00BF4160"/>
    <w:rsid w:val="00C021D8"/>
    <w:rsid w:val="00C0253C"/>
    <w:rsid w:val="00C03CA4"/>
    <w:rsid w:val="00C07E0C"/>
    <w:rsid w:val="00C155A8"/>
    <w:rsid w:val="00C321F2"/>
    <w:rsid w:val="00C334A9"/>
    <w:rsid w:val="00C45780"/>
    <w:rsid w:val="00C46A5E"/>
    <w:rsid w:val="00C50C2C"/>
    <w:rsid w:val="00C530E5"/>
    <w:rsid w:val="00C61F52"/>
    <w:rsid w:val="00C67CE8"/>
    <w:rsid w:val="00C758AA"/>
    <w:rsid w:val="00C77608"/>
    <w:rsid w:val="00C803DA"/>
    <w:rsid w:val="00C84756"/>
    <w:rsid w:val="00C91D9D"/>
    <w:rsid w:val="00CA244E"/>
    <w:rsid w:val="00CB05C6"/>
    <w:rsid w:val="00CB2BA7"/>
    <w:rsid w:val="00CB366A"/>
    <w:rsid w:val="00CB60B8"/>
    <w:rsid w:val="00CC491B"/>
    <w:rsid w:val="00CC650A"/>
    <w:rsid w:val="00D0292C"/>
    <w:rsid w:val="00D12F21"/>
    <w:rsid w:val="00D315C9"/>
    <w:rsid w:val="00D449BF"/>
    <w:rsid w:val="00D5014E"/>
    <w:rsid w:val="00D5335A"/>
    <w:rsid w:val="00D609BD"/>
    <w:rsid w:val="00D62F5A"/>
    <w:rsid w:val="00D638D9"/>
    <w:rsid w:val="00D70214"/>
    <w:rsid w:val="00D722DA"/>
    <w:rsid w:val="00D753FF"/>
    <w:rsid w:val="00D860D1"/>
    <w:rsid w:val="00D92EC7"/>
    <w:rsid w:val="00D94A2A"/>
    <w:rsid w:val="00DB1FD5"/>
    <w:rsid w:val="00DB3ADB"/>
    <w:rsid w:val="00DB56F9"/>
    <w:rsid w:val="00DB6F82"/>
    <w:rsid w:val="00DC3E72"/>
    <w:rsid w:val="00DD1E0E"/>
    <w:rsid w:val="00DE2B48"/>
    <w:rsid w:val="00E0030F"/>
    <w:rsid w:val="00E046CA"/>
    <w:rsid w:val="00E139EB"/>
    <w:rsid w:val="00E2325A"/>
    <w:rsid w:val="00E23A08"/>
    <w:rsid w:val="00E277E9"/>
    <w:rsid w:val="00E426E7"/>
    <w:rsid w:val="00E5010F"/>
    <w:rsid w:val="00E57921"/>
    <w:rsid w:val="00E659BA"/>
    <w:rsid w:val="00E675DA"/>
    <w:rsid w:val="00E67828"/>
    <w:rsid w:val="00E67AE5"/>
    <w:rsid w:val="00E77B4B"/>
    <w:rsid w:val="00E81C18"/>
    <w:rsid w:val="00E845E6"/>
    <w:rsid w:val="00E86888"/>
    <w:rsid w:val="00EA01C1"/>
    <w:rsid w:val="00EA0EE6"/>
    <w:rsid w:val="00EB2CC5"/>
    <w:rsid w:val="00EB2EA5"/>
    <w:rsid w:val="00EB637B"/>
    <w:rsid w:val="00EC314D"/>
    <w:rsid w:val="00EC3E6E"/>
    <w:rsid w:val="00ED170E"/>
    <w:rsid w:val="00ED56CE"/>
    <w:rsid w:val="00EE5F29"/>
    <w:rsid w:val="00F03AD2"/>
    <w:rsid w:val="00F158BC"/>
    <w:rsid w:val="00F33F34"/>
    <w:rsid w:val="00F377D0"/>
    <w:rsid w:val="00F41D6A"/>
    <w:rsid w:val="00F51E3E"/>
    <w:rsid w:val="00F52E16"/>
    <w:rsid w:val="00F61E7A"/>
    <w:rsid w:val="00F67561"/>
    <w:rsid w:val="00F74E86"/>
    <w:rsid w:val="00F76BC7"/>
    <w:rsid w:val="00F77A62"/>
    <w:rsid w:val="00F8109B"/>
    <w:rsid w:val="00F97DB9"/>
    <w:rsid w:val="00FA08E9"/>
    <w:rsid w:val="00FA41F2"/>
    <w:rsid w:val="00FC119D"/>
    <w:rsid w:val="00FC5154"/>
    <w:rsid w:val="00FC707E"/>
    <w:rsid w:val="00FD210E"/>
    <w:rsid w:val="00FD3790"/>
    <w:rsid w:val="00FD410A"/>
    <w:rsid w:val="00FD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76E8"/>
  <w15:docId w15:val="{14847D2F-A9C2-4A87-81C0-9D7F833F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7F2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B7F2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0B7F28"/>
    <w:rPr>
      <w:b/>
      <w:bCs/>
    </w:rPr>
  </w:style>
  <w:style w:type="character" w:customStyle="1" w:styleId="apple-converted-space">
    <w:name w:val="apple-converted-space"/>
    <w:rsid w:val="000B7F28"/>
  </w:style>
  <w:style w:type="paragraph" w:styleId="Balonteksts">
    <w:name w:val="Balloon Text"/>
    <w:basedOn w:val="Parasts"/>
    <w:link w:val="BalontekstsRakstz"/>
    <w:uiPriority w:val="99"/>
    <w:semiHidden/>
    <w:unhideWhenUsed/>
    <w:rsid w:val="004D0DD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D0DD1"/>
    <w:rPr>
      <w:rFonts w:ascii="Tahoma" w:eastAsia="Times New Roman" w:hAnsi="Tahoma" w:cs="Tahoma"/>
      <w:sz w:val="16"/>
      <w:szCs w:val="16"/>
      <w:lang w:eastAsia="lv-LV"/>
    </w:rPr>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
    <w:basedOn w:val="Parasts"/>
    <w:link w:val="SarakstarindkopaRakstz"/>
    <w:uiPriority w:val="34"/>
    <w:qFormat/>
    <w:rsid w:val="0007088F"/>
    <w:pPr>
      <w:ind w:left="720"/>
      <w:contextualSpacing/>
    </w:pPr>
  </w:style>
  <w:style w:type="character" w:styleId="Hipersaite">
    <w:name w:val="Hyperlink"/>
    <w:basedOn w:val="Noklusjumarindkopasfonts"/>
    <w:uiPriority w:val="99"/>
    <w:semiHidden/>
    <w:unhideWhenUsed/>
    <w:rsid w:val="007B39A2"/>
    <w:rPr>
      <w:color w:val="0000FF"/>
      <w:u w:val="single"/>
    </w:rPr>
  </w:style>
  <w:style w:type="paragraph" w:styleId="Vresteksts">
    <w:name w:val="footnote text"/>
    <w:basedOn w:val="Parasts"/>
    <w:link w:val="VrestekstsRakstz"/>
    <w:uiPriority w:val="99"/>
    <w:semiHidden/>
    <w:unhideWhenUsed/>
    <w:rsid w:val="0007148C"/>
    <w:rPr>
      <w:sz w:val="20"/>
      <w:szCs w:val="20"/>
    </w:rPr>
  </w:style>
  <w:style w:type="character" w:customStyle="1" w:styleId="VrestekstsRakstz">
    <w:name w:val="Vēres teksts Rakstz."/>
    <w:basedOn w:val="Noklusjumarindkopasfonts"/>
    <w:link w:val="Vresteksts"/>
    <w:uiPriority w:val="99"/>
    <w:semiHidden/>
    <w:rsid w:val="0007148C"/>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r,Footnote Refernece,Footnote Reference Superscript,ftref,Odwołanie przypisu,BVI fnr,Footnotes refss,SUPERS,Ref,de nota al pie,-E Fußnotenzeichen,Footnote reference number,Times 10 Point,E"/>
    <w:uiPriority w:val="99"/>
    <w:unhideWhenUsed/>
    <w:rsid w:val="0007148C"/>
    <w:rPr>
      <w:vertAlign w:val="superscript"/>
    </w:rPr>
  </w:style>
  <w:style w:type="table" w:styleId="Reatabula">
    <w:name w:val="Table Grid"/>
    <w:basedOn w:val="Parastatabula"/>
    <w:uiPriority w:val="39"/>
    <w:rsid w:val="00E8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Parasts"/>
    <w:qFormat/>
    <w:rsid w:val="00E67AE5"/>
    <w:pPr>
      <w:numPr>
        <w:numId w:val="11"/>
      </w:numPr>
      <w:spacing w:before="120" w:after="120"/>
      <w:jc w:val="center"/>
      <w:outlineLvl w:val="0"/>
    </w:pPr>
    <w:rPr>
      <w:rFonts w:eastAsia="Calibri"/>
      <w:b/>
      <w:bCs/>
      <w:lang w:val="x-none" w:eastAsia="x-none"/>
    </w:rPr>
  </w:style>
  <w:style w:type="paragraph" w:customStyle="1" w:styleId="11LIMENIS">
    <w:name w:val="1.1. LIMENIS"/>
    <w:basedOn w:val="Parasts"/>
    <w:qFormat/>
    <w:rsid w:val="00E67AE5"/>
    <w:pPr>
      <w:numPr>
        <w:ilvl w:val="1"/>
        <w:numId w:val="11"/>
      </w:numPr>
      <w:contextualSpacing/>
      <w:jc w:val="both"/>
    </w:pPr>
    <w:rPr>
      <w:b/>
      <w:lang w:val="x-none" w:eastAsia="x-none"/>
    </w:rPr>
  </w:style>
  <w:style w:type="paragraph" w:customStyle="1" w:styleId="111LIMENIS">
    <w:name w:val="1.1.1.LIMENIS"/>
    <w:basedOn w:val="Parasts"/>
    <w:link w:val="111LIMENISChar"/>
    <w:qFormat/>
    <w:rsid w:val="00E67AE5"/>
    <w:pPr>
      <w:numPr>
        <w:ilvl w:val="2"/>
        <w:numId w:val="11"/>
      </w:numPr>
      <w:contextualSpacing/>
      <w:jc w:val="both"/>
    </w:pPr>
    <w:rPr>
      <w:lang w:val="x-none" w:eastAsia="x-none"/>
    </w:rPr>
  </w:style>
  <w:style w:type="character" w:customStyle="1" w:styleId="111LIMENISChar">
    <w:name w:val="1.1.1.LIMENIS Char"/>
    <w:link w:val="111LIMENIS"/>
    <w:rsid w:val="00E67AE5"/>
    <w:rPr>
      <w:rFonts w:ascii="Times New Roman" w:eastAsia="Times New Roman" w:hAnsi="Times New Roman" w:cs="Times New Roman"/>
      <w:sz w:val="24"/>
      <w:szCs w:val="24"/>
      <w:lang w:val="x-none" w:eastAsia="x-none"/>
    </w:rPr>
  </w:style>
  <w:style w:type="paragraph" w:customStyle="1" w:styleId="1111LIMENIS">
    <w:name w:val="1.1.1.1.LIMENIS"/>
    <w:basedOn w:val="Parasts"/>
    <w:qFormat/>
    <w:rsid w:val="00E67AE5"/>
    <w:pPr>
      <w:numPr>
        <w:ilvl w:val="3"/>
        <w:numId w:val="11"/>
      </w:numPr>
      <w:contextualSpacing/>
      <w:jc w:val="both"/>
    </w:pPr>
    <w:rPr>
      <w:rFonts w:eastAsia="Calibri"/>
      <w:szCs w:val="20"/>
      <w:lang w:val="x-none" w:eastAsia="x-none"/>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0270D7"/>
    <w:rPr>
      <w:rFonts w:ascii="Times New Roman" w:eastAsia="Times New Roman" w:hAnsi="Times New Roman" w:cs="Times New Roman"/>
      <w:sz w:val="24"/>
      <w:szCs w:val="24"/>
      <w:lang w:eastAsia="lv-LV"/>
    </w:rPr>
  </w:style>
  <w:style w:type="table" w:customStyle="1" w:styleId="TableGrid1">
    <w:name w:val="Table Grid1"/>
    <w:basedOn w:val="Parastatabula"/>
    <w:next w:val="Reatabula"/>
    <w:uiPriority w:val="39"/>
    <w:rsid w:val="00D860D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F76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9709">
      <w:bodyDiv w:val="1"/>
      <w:marLeft w:val="0"/>
      <w:marRight w:val="0"/>
      <w:marTop w:val="0"/>
      <w:marBottom w:val="0"/>
      <w:divBdr>
        <w:top w:val="none" w:sz="0" w:space="0" w:color="auto"/>
        <w:left w:val="none" w:sz="0" w:space="0" w:color="auto"/>
        <w:bottom w:val="none" w:sz="0" w:space="0" w:color="auto"/>
        <w:right w:val="none" w:sz="0" w:space="0" w:color="auto"/>
      </w:divBdr>
    </w:div>
    <w:div w:id="623930638">
      <w:bodyDiv w:val="1"/>
      <w:marLeft w:val="0"/>
      <w:marRight w:val="0"/>
      <w:marTop w:val="0"/>
      <w:marBottom w:val="0"/>
      <w:divBdr>
        <w:top w:val="none" w:sz="0" w:space="0" w:color="auto"/>
        <w:left w:val="none" w:sz="0" w:space="0" w:color="auto"/>
        <w:bottom w:val="none" w:sz="0" w:space="0" w:color="auto"/>
        <w:right w:val="none" w:sz="0" w:space="0" w:color="auto"/>
      </w:divBdr>
      <w:divsChild>
        <w:div w:id="650402313">
          <w:marLeft w:val="0"/>
          <w:marRight w:val="0"/>
          <w:marTop w:val="0"/>
          <w:marBottom w:val="0"/>
          <w:divBdr>
            <w:top w:val="none" w:sz="0" w:space="0" w:color="auto"/>
            <w:left w:val="none" w:sz="0" w:space="0" w:color="auto"/>
            <w:bottom w:val="none" w:sz="0" w:space="0" w:color="auto"/>
            <w:right w:val="none" w:sz="0" w:space="0" w:color="auto"/>
          </w:divBdr>
        </w:div>
        <w:div w:id="947658181">
          <w:marLeft w:val="0"/>
          <w:marRight w:val="0"/>
          <w:marTop w:val="0"/>
          <w:marBottom w:val="0"/>
          <w:divBdr>
            <w:top w:val="none" w:sz="0" w:space="0" w:color="auto"/>
            <w:left w:val="none" w:sz="0" w:space="0" w:color="auto"/>
            <w:bottom w:val="none" w:sz="0" w:space="0" w:color="auto"/>
            <w:right w:val="none" w:sz="0" w:space="0" w:color="auto"/>
          </w:divBdr>
        </w:div>
      </w:divsChild>
    </w:div>
    <w:div w:id="683675103">
      <w:bodyDiv w:val="1"/>
      <w:marLeft w:val="0"/>
      <w:marRight w:val="0"/>
      <w:marTop w:val="0"/>
      <w:marBottom w:val="0"/>
      <w:divBdr>
        <w:top w:val="none" w:sz="0" w:space="0" w:color="auto"/>
        <w:left w:val="none" w:sz="0" w:space="0" w:color="auto"/>
        <w:bottom w:val="none" w:sz="0" w:space="0" w:color="auto"/>
        <w:right w:val="none" w:sz="0" w:space="0" w:color="auto"/>
      </w:divBdr>
    </w:div>
    <w:div w:id="1203372117">
      <w:bodyDiv w:val="1"/>
      <w:marLeft w:val="0"/>
      <w:marRight w:val="0"/>
      <w:marTop w:val="0"/>
      <w:marBottom w:val="0"/>
      <w:divBdr>
        <w:top w:val="none" w:sz="0" w:space="0" w:color="auto"/>
        <w:left w:val="none" w:sz="0" w:space="0" w:color="auto"/>
        <w:bottom w:val="none" w:sz="0" w:space="0" w:color="auto"/>
        <w:right w:val="none" w:sz="0" w:space="0" w:color="auto"/>
      </w:divBdr>
    </w:div>
    <w:div w:id="1955093612">
      <w:bodyDiv w:val="1"/>
      <w:marLeft w:val="0"/>
      <w:marRight w:val="0"/>
      <w:marTop w:val="0"/>
      <w:marBottom w:val="0"/>
      <w:divBdr>
        <w:top w:val="none" w:sz="0" w:space="0" w:color="auto"/>
        <w:left w:val="none" w:sz="0" w:space="0" w:color="auto"/>
        <w:bottom w:val="none" w:sz="0" w:space="0" w:color="auto"/>
        <w:right w:val="none" w:sz="0" w:space="0" w:color="auto"/>
      </w:divBdr>
      <w:divsChild>
        <w:div w:id="1267469120">
          <w:marLeft w:val="0"/>
          <w:marRight w:val="0"/>
          <w:marTop w:val="0"/>
          <w:marBottom w:val="0"/>
          <w:divBdr>
            <w:top w:val="none" w:sz="0" w:space="0" w:color="auto"/>
            <w:left w:val="none" w:sz="0" w:space="0" w:color="auto"/>
            <w:bottom w:val="none" w:sz="0" w:space="0" w:color="auto"/>
            <w:right w:val="none" w:sz="0" w:space="0" w:color="auto"/>
          </w:divBdr>
        </w:div>
        <w:div w:id="848762174">
          <w:marLeft w:val="0"/>
          <w:marRight w:val="0"/>
          <w:marTop w:val="0"/>
          <w:marBottom w:val="0"/>
          <w:divBdr>
            <w:top w:val="none" w:sz="0" w:space="0" w:color="auto"/>
            <w:left w:val="none" w:sz="0" w:space="0" w:color="auto"/>
            <w:bottom w:val="none" w:sz="0" w:space="0" w:color="auto"/>
            <w:right w:val="none" w:sz="0" w:space="0" w:color="auto"/>
          </w:divBdr>
        </w:div>
      </w:divsChild>
    </w:div>
    <w:div w:id="21178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EB75-8681-4FE1-A9C3-842468DC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5804</Words>
  <Characters>3309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Bekmane</dc:creator>
  <cp:lastModifiedBy>Diāna Andriņa Nagle</cp:lastModifiedBy>
  <cp:revision>234</cp:revision>
  <cp:lastPrinted>2020-01-28T08:12:00Z</cp:lastPrinted>
  <dcterms:created xsi:type="dcterms:W3CDTF">2020-01-29T14:02:00Z</dcterms:created>
  <dcterms:modified xsi:type="dcterms:W3CDTF">2021-09-16T09:05:00Z</dcterms:modified>
</cp:coreProperties>
</file>