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7EE3" w:rsidRDefault="00F91AD9">
      <w:pPr>
        <w:pStyle w:val="BodyText"/>
        <w:ind w:left="2293"/>
        <w:rPr>
          <w:rFonts w:ascii="Times New Roman"/>
        </w:rPr>
      </w:pPr>
      <w:r>
        <w:rPr>
          <w:rFonts w:ascii="Times New Roman"/>
          <w:noProof/>
          <w:lang w:val="en-US"/>
        </w:rPr>
        <w:drawing>
          <wp:inline distT="0" distB="0" distL="0" distR="0">
            <wp:extent cx="3359887" cy="690086"/>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3359887" cy="690086"/>
                    </a:xfrm>
                    <a:prstGeom prst="rect">
                      <a:avLst/>
                    </a:prstGeom>
                  </pic:spPr>
                </pic:pic>
              </a:graphicData>
            </a:graphic>
          </wp:inline>
        </w:drawing>
      </w:r>
    </w:p>
    <w:p w:rsidR="00817EE3" w:rsidRDefault="00817EE3">
      <w:pPr>
        <w:pStyle w:val="BodyText"/>
        <w:rPr>
          <w:rFonts w:ascii="Times New Roman"/>
        </w:rPr>
      </w:pPr>
    </w:p>
    <w:p w:rsidR="00817EE3" w:rsidRDefault="00817EE3">
      <w:pPr>
        <w:pStyle w:val="BodyText"/>
        <w:spacing w:before="10"/>
        <w:rPr>
          <w:rFonts w:ascii="Times New Roman"/>
        </w:rPr>
      </w:pPr>
    </w:p>
    <w:p w:rsidR="00817EE3" w:rsidRDefault="00F91AD9">
      <w:pPr>
        <w:spacing w:before="100" w:line="360" w:lineRule="auto"/>
        <w:ind w:left="1989" w:right="1910" w:firstLine="883"/>
        <w:rPr>
          <w:b/>
          <w:sz w:val="24"/>
        </w:rPr>
      </w:pPr>
      <w:r>
        <w:rPr>
          <w:b/>
          <w:color w:val="674690"/>
          <w:sz w:val="24"/>
        </w:rPr>
        <w:t>Projekts Nr. 8.3.6.1/16/I/001</w:t>
      </w:r>
      <w:r>
        <w:rPr>
          <w:b/>
          <w:color w:val="674690"/>
          <w:spacing w:val="1"/>
          <w:sz w:val="24"/>
        </w:rPr>
        <w:t xml:space="preserve"> </w:t>
      </w:r>
      <w:r>
        <w:rPr>
          <w:b/>
          <w:color w:val="674690"/>
          <w:sz w:val="24"/>
        </w:rPr>
        <w:t>“Dalība</w:t>
      </w:r>
      <w:r>
        <w:rPr>
          <w:b/>
          <w:color w:val="674690"/>
          <w:spacing w:val="-7"/>
          <w:sz w:val="24"/>
        </w:rPr>
        <w:t xml:space="preserve"> </w:t>
      </w:r>
      <w:r>
        <w:rPr>
          <w:b/>
          <w:color w:val="674690"/>
          <w:sz w:val="24"/>
        </w:rPr>
        <w:t>starptautiskos</w:t>
      </w:r>
      <w:r>
        <w:rPr>
          <w:b/>
          <w:color w:val="674690"/>
          <w:spacing w:val="-6"/>
          <w:sz w:val="24"/>
        </w:rPr>
        <w:t xml:space="preserve"> </w:t>
      </w:r>
      <w:r>
        <w:rPr>
          <w:b/>
          <w:color w:val="674690"/>
          <w:sz w:val="24"/>
        </w:rPr>
        <w:t>izglītības</w:t>
      </w:r>
      <w:r>
        <w:rPr>
          <w:b/>
          <w:color w:val="674690"/>
          <w:spacing w:val="-6"/>
          <w:sz w:val="24"/>
        </w:rPr>
        <w:t xml:space="preserve"> </w:t>
      </w:r>
      <w:r>
        <w:rPr>
          <w:b/>
          <w:color w:val="674690"/>
          <w:sz w:val="24"/>
        </w:rPr>
        <w:t>pētījumos”</w:t>
      </w:r>
    </w:p>
    <w:p w:rsidR="00A72072" w:rsidRDefault="00F91AD9" w:rsidP="00A72072">
      <w:pPr>
        <w:spacing w:before="121" w:after="360" w:line="360" w:lineRule="auto"/>
        <w:ind w:left="389" w:firstLine="346"/>
        <w:rPr>
          <w:b/>
          <w:sz w:val="24"/>
        </w:rPr>
      </w:pPr>
      <w:r>
        <w:rPr>
          <w:b/>
          <w:sz w:val="24"/>
        </w:rPr>
        <w:t>Progress projekta darbības virzienos – starptautisko izglītības</w:t>
      </w:r>
      <w:r>
        <w:rPr>
          <w:b/>
          <w:spacing w:val="1"/>
          <w:sz w:val="24"/>
        </w:rPr>
        <w:t xml:space="preserve"> </w:t>
      </w:r>
      <w:r>
        <w:rPr>
          <w:b/>
          <w:sz w:val="24"/>
        </w:rPr>
        <w:t>pētījumu</w:t>
      </w:r>
      <w:r>
        <w:rPr>
          <w:b/>
          <w:spacing w:val="-7"/>
          <w:sz w:val="24"/>
        </w:rPr>
        <w:t xml:space="preserve"> </w:t>
      </w:r>
      <w:r>
        <w:rPr>
          <w:b/>
          <w:sz w:val="24"/>
        </w:rPr>
        <w:t>īstenošanā</w:t>
      </w:r>
      <w:r>
        <w:rPr>
          <w:b/>
          <w:spacing w:val="-3"/>
          <w:sz w:val="24"/>
        </w:rPr>
        <w:t xml:space="preserve"> </w:t>
      </w:r>
      <w:r>
        <w:rPr>
          <w:b/>
          <w:sz w:val="24"/>
        </w:rPr>
        <w:t>–</w:t>
      </w:r>
      <w:r>
        <w:rPr>
          <w:b/>
          <w:spacing w:val="-5"/>
          <w:sz w:val="24"/>
        </w:rPr>
        <w:t xml:space="preserve"> </w:t>
      </w:r>
      <w:r>
        <w:rPr>
          <w:b/>
          <w:sz w:val="24"/>
        </w:rPr>
        <w:t>laika</w:t>
      </w:r>
      <w:r>
        <w:rPr>
          <w:b/>
          <w:spacing w:val="-4"/>
          <w:sz w:val="24"/>
        </w:rPr>
        <w:t xml:space="preserve"> </w:t>
      </w:r>
      <w:r>
        <w:rPr>
          <w:b/>
          <w:sz w:val="24"/>
        </w:rPr>
        <w:t>posmā</w:t>
      </w:r>
      <w:r>
        <w:rPr>
          <w:b/>
          <w:spacing w:val="-7"/>
          <w:sz w:val="24"/>
        </w:rPr>
        <w:t xml:space="preserve"> </w:t>
      </w:r>
      <w:r>
        <w:rPr>
          <w:b/>
          <w:sz w:val="24"/>
        </w:rPr>
        <w:t>no</w:t>
      </w:r>
      <w:r>
        <w:rPr>
          <w:b/>
          <w:spacing w:val="-3"/>
          <w:sz w:val="24"/>
        </w:rPr>
        <w:t xml:space="preserve"> </w:t>
      </w:r>
      <w:r>
        <w:rPr>
          <w:b/>
          <w:sz w:val="24"/>
        </w:rPr>
        <w:t>01.0</w:t>
      </w:r>
      <w:r w:rsidR="00A72072">
        <w:rPr>
          <w:b/>
          <w:sz w:val="24"/>
        </w:rPr>
        <w:t>7</w:t>
      </w:r>
      <w:r>
        <w:rPr>
          <w:b/>
          <w:sz w:val="24"/>
        </w:rPr>
        <w:t>.2021.</w:t>
      </w:r>
      <w:r>
        <w:rPr>
          <w:b/>
          <w:spacing w:val="-3"/>
          <w:sz w:val="24"/>
        </w:rPr>
        <w:t xml:space="preserve"> </w:t>
      </w:r>
      <w:r>
        <w:rPr>
          <w:b/>
          <w:sz w:val="24"/>
        </w:rPr>
        <w:t>līdz</w:t>
      </w:r>
      <w:r>
        <w:rPr>
          <w:b/>
          <w:spacing w:val="-5"/>
          <w:sz w:val="24"/>
        </w:rPr>
        <w:t xml:space="preserve"> </w:t>
      </w:r>
      <w:r>
        <w:rPr>
          <w:b/>
          <w:sz w:val="24"/>
        </w:rPr>
        <w:t>3</w:t>
      </w:r>
      <w:r w:rsidR="00B54211">
        <w:rPr>
          <w:b/>
          <w:sz w:val="24"/>
        </w:rPr>
        <w:t>0</w:t>
      </w:r>
      <w:r>
        <w:rPr>
          <w:b/>
          <w:sz w:val="24"/>
        </w:rPr>
        <w:t>.0</w:t>
      </w:r>
      <w:r w:rsidR="00A72072">
        <w:rPr>
          <w:b/>
          <w:sz w:val="24"/>
        </w:rPr>
        <w:t>9</w:t>
      </w:r>
      <w:r>
        <w:rPr>
          <w:b/>
          <w:sz w:val="24"/>
        </w:rPr>
        <w:t>.2021.</w:t>
      </w:r>
    </w:p>
    <w:p w:rsidR="00A72072" w:rsidRDefault="00A72072" w:rsidP="00E41936">
      <w:pPr>
        <w:pStyle w:val="Heading2"/>
        <w:spacing w:before="145" w:after="120"/>
        <w:ind w:left="0"/>
        <w:rPr>
          <w:bCs w:val="0"/>
          <w:color w:val="674690"/>
          <w:sz w:val="24"/>
          <w:szCs w:val="22"/>
        </w:rPr>
      </w:pPr>
      <w:r w:rsidRPr="00A72072">
        <w:rPr>
          <w:bCs w:val="0"/>
          <w:color w:val="674690"/>
          <w:sz w:val="24"/>
          <w:szCs w:val="22"/>
        </w:rPr>
        <w:t xml:space="preserve">OECD </w:t>
      </w:r>
      <w:r w:rsidR="00C2759C">
        <w:rPr>
          <w:bCs w:val="0"/>
          <w:color w:val="674690"/>
          <w:sz w:val="24"/>
          <w:szCs w:val="22"/>
        </w:rPr>
        <w:t xml:space="preserve">Starptautiskās skolēnu prasmju novērtēšanas programmas </w:t>
      </w:r>
      <w:r w:rsidRPr="00A72072">
        <w:rPr>
          <w:bCs w:val="0"/>
          <w:color w:val="674690"/>
          <w:sz w:val="24"/>
          <w:szCs w:val="22"/>
        </w:rPr>
        <w:t>PISA 2015 iegūto datu analīze, OECD PISA 2018, OECD PISA 2022 īstenošana un iegūto datu analīze</w:t>
      </w:r>
    </w:p>
    <w:p w:rsidR="00D21E97" w:rsidRPr="004654F8" w:rsidRDefault="00D21E97" w:rsidP="00D21E97">
      <w:pPr>
        <w:jc w:val="both"/>
        <w:rPr>
          <w:b/>
          <w:bCs/>
          <w:sz w:val="20"/>
          <w:szCs w:val="24"/>
        </w:rPr>
      </w:pPr>
      <w:r w:rsidRPr="004654F8">
        <w:rPr>
          <w:b/>
          <w:bCs/>
          <w:sz w:val="20"/>
          <w:szCs w:val="24"/>
        </w:rPr>
        <w:t xml:space="preserve">Turpinās PISA sekundāro pētījumu īstenošana </w:t>
      </w:r>
      <w:r w:rsidR="0039272E" w:rsidRPr="004654F8">
        <w:rPr>
          <w:b/>
          <w:bCs/>
          <w:sz w:val="20"/>
          <w:szCs w:val="24"/>
        </w:rPr>
        <w:t>par tēmām</w:t>
      </w:r>
      <w:r w:rsidRPr="004654F8">
        <w:rPr>
          <w:b/>
          <w:bCs/>
          <w:sz w:val="20"/>
          <w:szCs w:val="24"/>
        </w:rPr>
        <w:t>:</w:t>
      </w:r>
    </w:p>
    <w:p w:rsidR="00D21E97" w:rsidRPr="004654F8" w:rsidRDefault="00D21E97" w:rsidP="00D21E97">
      <w:pPr>
        <w:pStyle w:val="ListParagraph"/>
        <w:numPr>
          <w:ilvl w:val="0"/>
          <w:numId w:val="7"/>
        </w:numPr>
        <w:tabs>
          <w:tab w:val="left" w:pos="820"/>
          <w:tab w:val="left" w:pos="821"/>
        </w:tabs>
        <w:ind w:right="123"/>
        <w:jc w:val="both"/>
        <w:rPr>
          <w:sz w:val="20"/>
          <w:szCs w:val="20"/>
        </w:rPr>
      </w:pPr>
      <w:r w:rsidRPr="004654F8">
        <w:rPr>
          <w:sz w:val="20"/>
          <w:szCs w:val="20"/>
        </w:rPr>
        <w:t>Latvijas piecpadsmit gadus veco skolēnu lasīšanas kompetence PISA 2018 salīdzinājumā: tās izmaiņu tendences (2009-2018) un saistība ar dažādiem izglītības sistēmas, skolas, mācību procesa, ģimenes un skolēna līmeņa faktoriem</w:t>
      </w:r>
      <w:r w:rsidR="00A35653" w:rsidRPr="004654F8">
        <w:rPr>
          <w:sz w:val="20"/>
          <w:szCs w:val="20"/>
        </w:rPr>
        <w:t>;</w:t>
      </w:r>
    </w:p>
    <w:p w:rsidR="00D21E97" w:rsidRPr="004654F8" w:rsidRDefault="00D21E97" w:rsidP="00D21E97">
      <w:pPr>
        <w:pStyle w:val="ListParagraph"/>
        <w:numPr>
          <w:ilvl w:val="0"/>
          <w:numId w:val="7"/>
        </w:numPr>
        <w:tabs>
          <w:tab w:val="left" w:pos="820"/>
          <w:tab w:val="left" w:pos="821"/>
        </w:tabs>
        <w:ind w:right="123"/>
        <w:jc w:val="both"/>
        <w:rPr>
          <w:sz w:val="20"/>
          <w:szCs w:val="20"/>
        </w:rPr>
      </w:pPr>
      <w:r w:rsidRPr="004654F8">
        <w:rPr>
          <w:sz w:val="20"/>
          <w:szCs w:val="20"/>
        </w:rPr>
        <w:t>Latvijas skolēnu globālā kom</w:t>
      </w:r>
      <w:r w:rsidR="00A35653" w:rsidRPr="004654F8">
        <w:rPr>
          <w:sz w:val="20"/>
          <w:szCs w:val="20"/>
        </w:rPr>
        <w:t>petence PISA 2018 salīdzinājumā;</w:t>
      </w:r>
    </w:p>
    <w:p w:rsidR="00D21E97" w:rsidRPr="004654F8" w:rsidRDefault="00D21E97" w:rsidP="00D21E97">
      <w:pPr>
        <w:pStyle w:val="ListParagraph"/>
        <w:numPr>
          <w:ilvl w:val="0"/>
          <w:numId w:val="7"/>
        </w:numPr>
        <w:tabs>
          <w:tab w:val="left" w:pos="820"/>
          <w:tab w:val="left" w:pos="821"/>
        </w:tabs>
        <w:ind w:right="123"/>
        <w:jc w:val="both"/>
        <w:rPr>
          <w:rFonts w:cs="Times New Roman"/>
          <w:sz w:val="20"/>
          <w:szCs w:val="20"/>
        </w:rPr>
      </w:pPr>
      <w:r w:rsidRPr="004654F8">
        <w:rPr>
          <w:sz w:val="20"/>
          <w:szCs w:val="20"/>
        </w:rPr>
        <w:t>Latvijas skolēnu sasniegumu izmaiņas 4.-9. kl. posmā starptautiskā</w:t>
      </w:r>
      <w:r w:rsidRPr="004654F8">
        <w:rPr>
          <w:rFonts w:cs="Times New Roman"/>
          <w:sz w:val="20"/>
          <w:szCs w:val="20"/>
        </w:rPr>
        <w:t xml:space="preserve"> salīdzinājumā (PISA 2018, TIMSS 2019, PIRLS 2016) un tās ietekmējošie faktori.</w:t>
      </w:r>
    </w:p>
    <w:p w:rsidR="00D21E97" w:rsidRPr="004654F8" w:rsidRDefault="00D21E97" w:rsidP="00D21E97">
      <w:pPr>
        <w:jc w:val="both"/>
        <w:rPr>
          <w:rFonts w:cs="Times New Roman"/>
          <w:sz w:val="20"/>
          <w:szCs w:val="20"/>
        </w:rPr>
      </w:pPr>
    </w:p>
    <w:p w:rsidR="004654F8" w:rsidRPr="004654F8" w:rsidRDefault="004654F8" w:rsidP="00D21E97">
      <w:pPr>
        <w:jc w:val="both"/>
        <w:rPr>
          <w:rFonts w:cs="Times New Roman"/>
          <w:b/>
          <w:sz w:val="20"/>
          <w:szCs w:val="20"/>
        </w:rPr>
      </w:pPr>
      <w:r w:rsidRPr="004654F8">
        <w:rPr>
          <w:rFonts w:cs="Times New Roman"/>
          <w:b/>
          <w:sz w:val="20"/>
          <w:szCs w:val="20"/>
        </w:rPr>
        <w:t>Turpinās PISA 2022 pētījuma īsteošana</w:t>
      </w:r>
      <w:r>
        <w:rPr>
          <w:rFonts w:cs="Times New Roman"/>
          <w:b/>
          <w:sz w:val="20"/>
          <w:szCs w:val="20"/>
        </w:rPr>
        <w:t>.</w:t>
      </w:r>
    </w:p>
    <w:p w:rsidR="00D21E97" w:rsidRPr="004654F8" w:rsidRDefault="00D21E97" w:rsidP="00D21E97">
      <w:pPr>
        <w:jc w:val="both"/>
        <w:rPr>
          <w:rFonts w:cs="Times New Roman"/>
          <w:sz w:val="20"/>
          <w:szCs w:val="20"/>
        </w:rPr>
      </w:pPr>
      <w:r w:rsidRPr="004654F8">
        <w:rPr>
          <w:rFonts w:cs="Times New Roman"/>
          <w:sz w:val="20"/>
          <w:szCs w:val="20"/>
        </w:rPr>
        <w:t>Sadarbībā ar PISA starptautiskajiem konsorcijiem panākta vienošanās par ierobežota apjoma PISA 2022 izmēģinājuma pētījuma veikšanu Latvijas skolās 2021.gada septembrī - oktobrī.</w:t>
      </w:r>
    </w:p>
    <w:p w:rsidR="00A35653" w:rsidRPr="004654F8" w:rsidRDefault="00A35653" w:rsidP="00D21E97">
      <w:pPr>
        <w:jc w:val="both"/>
        <w:rPr>
          <w:rFonts w:cs="Times New Roman"/>
          <w:sz w:val="20"/>
          <w:szCs w:val="20"/>
        </w:rPr>
      </w:pPr>
    </w:p>
    <w:p w:rsidR="00D21E97" w:rsidRPr="004654F8" w:rsidRDefault="00D21E97" w:rsidP="00D21E97">
      <w:pPr>
        <w:jc w:val="both"/>
        <w:rPr>
          <w:rFonts w:cs="Times New Roman"/>
          <w:sz w:val="20"/>
          <w:szCs w:val="20"/>
        </w:rPr>
      </w:pPr>
      <w:r w:rsidRPr="004654F8">
        <w:rPr>
          <w:rFonts w:cs="Times New Roman"/>
          <w:sz w:val="20"/>
          <w:szCs w:val="20"/>
        </w:rPr>
        <w:t>Pārskata periodā veikti sekojoši procesi:</w:t>
      </w:r>
    </w:p>
    <w:p w:rsidR="00D21E97" w:rsidRPr="004654F8" w:rsidRDefault="00D21E97" w:rsidP="00D21E97">
      <w:pPr>
        <w:pStyle w:val="ListParagraph"/>
        <w:numPr>
          <w:ilvl w:val="0"/>
          <w:numId w:val="1"/>
        </w:numPr>
        <w:tabs>
          <w:tab w:val="left" w:pos="820"/>
          <w:tab w:val="left" w:pos="821"/>
        </w:tabs>
        <w:ind w:left="821" w:right="130"/>
        <w:jc w:val="both"/>
        <w:rPr>
          <w:sz w:val="20"/>
          <w:szCs w:val="20"/>
        </w:rPr>
      </w:pPr>
      <w:r w:rsidRPr="004654F8">
        <w:rPr>
          <w:sz w:val="20"/>
          <w:szCs w:val="20"/>
        </w:rPr>
        <w:t>izvērtētas skolu iespējas un sagatavots plāns pētījuma sagatavošanai un īstenošanai;</w:t>
      </w:r>
    </w:p>
    <w:p w:rsidR="00D21E97" w:rsidRPr="004654F8" w:rsidRDefault="00D21E97" w:rsidP="00D21E97">
      <w:pPr>
        <w:pStyle w:val="ListParagraph"/>
        <w:numPr>
          <w:ilvl w:val="0"/>
          <w:numId w:val="1"/>
        </w:numPr>
        <w:tabs>
          <w:tab w:val="left" w:pos="820"/>
          <w:tab w:val="left" w:pos="821"/>
        </w:tabs>
        <w:ind w:left="821" w:right="130"/>
        <w:jc w:val="both"/>
        <w:rPr>
          <w:sz w:val="20"/>
          <w:szCs w:val="20"/>
        </w:rPr>
      </w:pPr>
      <w:r w:rsidRPr="004654F8">
        <w:rPr>
          <w:sz w:val="20"/>
          <w:szCs w:val="20"/>
        </w:rPr>
        <w:t>dalībai pētījumā uzaicinātas 14 skolas, savu dalību apstiprinājušas 7 skolas;</w:t>
      </w:r>
    </w:p>
    <w:p w:rsidR="00D21E97" w:rsidRPr="004654F8" w:rsidRDefault="00D21E97" w:rsidP="00D21E97">
      <w:pPr>
        <w:pStyle w:val="ListParagraph"/>
        <w:numPr>
          <w:ilvl w:val="0"/>
          <w:numId w:val="1"/>
        </w:numPr>
        <w:tabs>
          <w:tab w:val="left" w:pos="820"/>
          <w:tab w:val="left" w:pos="821"/>
        </w:tabs>
        <w:ind w:left="821" w:right="130"/>
        <w:jc w:val="both"/>
        <w:rPr>
          <w:sz w:val="20"/>
          <w:szCs w:val="20"/>
        </w:rPr>
      </w:pPr>
      <w:r w:rsidRPr="004654F8">
        <w:rPr>
          <w:sz w:val="20"/>
          <w:szCs w:val="20"/>
        </w:rPr>
        <w:t>atbilstoši šī brīža situācijai precizēti un pārbaudīti visi testēšanai nepieciešamie materiāli un instrumenti;</w:t>
      </w:r>
    </w:p>
    <w:p w:rsidR="00D21E97" w:rsidRPr="004654F8" w:rsidRDefault="00D21E97" w:rsidP="00D21E97">
      <w:pPr>
        <w:pStyle w:val="ListParagraph"/>
        <w:numPr>
          <w:ilvl w:val="0"/>
          <w:numId w:val="1"/>
        </w:numPr>
        <w:tabs>
          <w:tab w:val="left" w:pos="820"/>
          <w:tab w:val="left" w:pos="821"/>
        </w:tabs>
        <w:ind w:left="821" w:right="130"/>
        <w:jc w:val="both"/>
        <w:rPr>
          <w:sz w:val="20"/>
          <w:szCs w:val="20"/>
        </w:rPr>
      </w:pPr>
      <w:r w:rsidRPr="004654F8">
        <w:rPr>
          <w:sz w:val="20"/>
          <w:szCs w:val="20"/>
        </w:rPr>
        <w:t>veikta testa administratoru apmācība, kā testa administratori iesaistīti arī Izglītības zinātņu maģistra programmas studenti;</w:t>
      </w:r>
    </w:p>
    <w:p w:rsidR="00D21E97" w:rsidRPr="004654F8" w:rsidRDefault="00D21E97" w:rsidP="00D21E97">
      <w:pPr>
        <w:pStyle w:val="ListParagraph"/>
        <w:numPr>
          <w:ilvl w:val="0"/>
          <w:numId w:val="1"/>
        </w:numPr>
        <w:tabs>
          <w:tab w:val="left" w:pos="820"/>
          <w:tab w:val="left" w:pos="821"/>
        </w:tabs>
        <w:ind w:left="821" w:right="130"/>
        <w:jc w:val="both"/>
        <w:rPr>
          <w:sz w:val="20"/>
          <w:szCs w:val="20"/>
        </w:rPr>
      </w:pPr>
      <w:r w:rsidRPr="004654F8">
        <w:rPr>
          <w:sz w:val="20"/>
          <w:szCs w:val="20"/>
        </w:rPr>
        <w:t>atbilstoši skolu iesniegtajiem sarakstiem un testēšanai piemēroto datoru skaitam skolā, veikta skolēnu izlase.</w:t>
      </w:r>
    </w:p>
    <w:p w:rsidR="00E41936" w:rsidRPr="00E41936" w:rsidRDefault="004654F8" w:rsidP="00E41936">
      <w:pPr>
        <w:spacing w:before="480" w:after="120"/>
        <w:rPr>
          <w:b/>
          <w:color w:val="674690"/>
          <w:sz w:val="24"/>
        </w:rPr>
      </w:pPr>
      <w:r>
        <w:rPr>
          <w:b/>
          <w:color w:val="674690"/>
          <w:sz w:val="24"/>
        </w:rPr>
        <w:t xml:space="preserve">Gatavošanās </w:t>
      </w:r>
      <w:r w:rsidR="00E41936" w:rsidRPr="00E41936">
        <w:rPr>
          <w:b/>
          <w:color w:val="674690"/>
          <w:sz w:val="24"/>
        </w:rPr>
        <w:t xml:space="preserve">OECD </w:t>
      </w:r>
      <w:r w:rsidR="00C2759C">
        <w:rPr>
          <w:b/>
          <w:color w:val="674690"/>
          <w:sz w:val="24"/>
        </w:rPr>
        <w:t xml:space="preserve">Starptautiskā mācību vides pētījuma </w:t>
      </w:r>
      <w:r w:rsidR="00E41936" w:rsidRPr="00E41936">
        <w:rPr>
          <w:b/>
          <w:color w:val="674690"/>
          <w:sz w:val="24"/>
        </w:rPr>
        <w:t xml:space="preserve">TALIS </w:t>
      </w:r>
      <w:r>
        <w:rPr>
          <w:b/>
          <w:color w:val="674690"/>
          <w:sz w:val="24"/>
        </w:rPr>
        <w:t>2024 ciklam</w:t>
      </w:r>
    </w:p>
    <w:p w:rsidR="0055545E" w:rsidRPr="004654F8" w:rsidRDefault="00E41936" w:rsidP="00E41936">
      <w:pPr>
        <w:jc w:val="both"/>
        <w:rPr>
          <w:rFonts w:cs="Times New Roman"/>
          <w:b/>
          <w:sz w:val="20"/>
          <w:szCs w:val="20"/>
        </w:rPr>
      </w:pPr>
      <w:r w:rsidRPr="004654F8">
        <w:rPr>
          <w:rFonts w:cs="Times New Roman"/>
          <w:b/>
          <w:sz w:val="20"/>
          <w:szCs w:val="20"/>
        </w:rPr>
        <w:t xml:space="preserve">Gatavošanās dalībai TALIS 2024. </w:t>
      </w:r>
    </w:p>
    <w:p w:rsidR="0055545E" w:rsidRPr="0055545E" w:rsidRDefault="004654F8" w:rsidP="00E41936">
      <w:pPr>
        <w:jc w:val="both"/>
        <w:rPr>
          <w:rFonts w:cs="Times New Roman"/>
          <w:sz w:val="20"/>
          <w:szCs w:val="20"/>
        </w:rPr>
      </w:pPr>
      <w:r>
        <w:rPr>
          <w:rFonts w:cs="Times New Roman"/>
          <w:sz w:val="20"/>
          <w:szCs w:val="20"/>
        </w:rPr>
        <w:t>Pārskata periodā uzsākts</w:t>
      </w:r>
      <w:r w:rsidR="0055545E">
        <w:rPr>
          <w:rFonts w:cs="Times New Roman"/>
          <w:sz w:val="20"/>
          <w:szCs w:val="20"/>
        </w:rPr>
        <w:t xml:space="preserve"> sadarbības </w:t>
      </w:r>
      <w:r w:rsidR="0055545E" w:rsidRPr="0055545E">
        <w:rPr>
          <w:rFonts w:cs="Times New Roman"/>
          <w:sz w:val="20"/>
          <w:szCs w:val="20"/>
        </w:rPr>
        <w:t>partnera atlase</w:t>
      </w:r>
      <w:r>
        <w:rPr>
          <w:rFonts w:cs="Times New Roman"/>
          <w:sz w:val="20"/>
          <w:szCs w:val="20"/>
        </w:rPr>
        <w:t>s process</w:t>
      </w:r>
      <w:r w:rsidR="0055545E" w:rsidRPr="0055545E">
        <w:rPr>
          <w:rFonts w:cs="Times New Roman"/>
          <w:sz w:val="20"/>
          <w:szCs w:val="20"/>
        </w:rPr>
        <w:t xml:space="preserve"> </w:t>
      </w:r>
      <w:r w:rsidR="00E41936" w:rsidRPr="0055545E">
        <w:rPr>
          <w:rFonts w:cs="Times New Roman"/>
          <w:sz w:val="20"/>
          <w:szCs w:val="20"/>
        </w:rPr>
        <w:t>izmēģi</w:t>
      </w:r>
      <w:r>
        <w:rPr>
          <w:rFonts w:cs="Times New Roman"/>
          <w:sz w:val="20"/>
          <w:szCs w:val="20"/>
        </w:rPr>
        <w:t>nājuma pētījuma veikšanai nākamajam pētījuma</w:t>
      </w:r>
      <w:r w:rsidR="00E41936" w:rsidRPr="0055545E">
        <w:rPr>
          <w:rFonts w:cs="Times New Roman"/>
          <w:sz w:val="20"/>
          <w:szCs w:val="20"/>
        </w:rPr>
        <w:t xml:space="preserve"> cikla</w:t>
      </w:r>
      <w:r>
        <w:rPr>
          <w:rFonts w:cs="Times New Roman"/>
          <w:sz w:val="20"/>
          <w:szCs w:val="20"/>
        </w:rPr>
        <w:t>m</w:t>
      </w:r>
      <w:r w:rsidR="00E41936" w:rsidRPr="0055545E">
        <w:rPr>
          <w:rFonts w:cs="Times New Roman"/>
          <w:sz w:val="20"/>
          <w:szCs w:val="20"/>
        </w:rPr>
        <w:t xml:space="preserve"> TALIS 2024</w:t>
      </w:r>
      <w:r>
        <w:rPr>
          <w:rFonts w:cs="Times New Roman"/>
          <w:sz w:val="20"/>
          <w:szCs w:val="20"/>
        </w:rPr>
        <w:t>, saņemts pieteikums no Latvijas Univeristātes, uzsākts pieteikuma vērtēšanas process.</w:t>
      </w:r>
    </w:p>
    <w:p w:rsidR="00817EE3" w:rsidRDefault="00F91AD9" w:rsidP="00324AB8">
      <w:pPr>
        <w:spacing w:before="480" w:line="360" w:lineRule="auto"/>
        <w:rPr>
          <w:b/>
          <w:color w:val="674690"/>
          <w:sz w:val="24"/>
        </w:rPr>
      </w:pPr>
      <w:r w:rsidRPr="00AC6405">
        <w:rPr>
          <w:b/>
          <w:color w:val="674690"/>
          <w:sz w:val="24"/>
        </w:rPr>
        <w:t>OECD izglītības indikatoru programma</w:t>
      </w:r>
      <w:r w:rsidR="0055545E">
        <w:rPr>
          <w:b/>
          <w:color w:val="674690"/>
          <w:sz w:val="24"/>
        </w:rPr>
        <w:t>s</w:t>
      </w:r>
      <w:r w:rsidRPr="00AC6405">
        <w:rPr>
          <w:b/>
          <w:color w:val="674690"/>
          <w:sz w:val="24"/>
        </w:rPr>
        <w:t xml:space="preserve"> INES</w:t>
      </w:r>
      <w:r w:rsidR="0055545E">
        <w:rPr>
          <w:b/>
          <w:color w:val="674690"/>
          <w:sz w:val="24"/>
        </w:rPr>
        <w:t xml:space="preserve"> īstenošana</w:t>
      </w:r>
    </w:p>
    <w:p w:rsidR="0055545E" w:rsidRPr="0055545E" w:rsidRDefault="0055545E" w:rsidP="0055545E">
      <w:pPr>
        <w:jc w:val="both"/>
        <w:rPr>
          <w:sz w:val="20"/>
        </w:rPr>
      </w:pPr>
      <w:r w:rsidRPr="007D4854">
        <w:rPr>
          <w:sz w:val="20"/>
        </w:rPr>
        <w:t xml:space="preserve">Pārskata periodā nodrošināta </w:t>
      </w:r>
      <w:r w:rsidRPr="0055545E">
        <w:rPr>
          <w:sz w:val="20"/>
        </w:rPr>
        <w:t>Latvijas informācija INES-NESLI aptaujai par skolotājiem profesionālajā izglītībā.</w:t>
      </w:r>
    </w:p>
    <w:p w:rsidR="0055545E" w:rsidRPr="0055545E" w:rsidRDefault="0055545E" w:rsidP="0055545E">
      <w:pPr>
        <w:jc w:val="both"/>
        <w:rPr>
          <w:sz w:val="20"/>
        </w:rPr>
      </w:pPr>
      <w:r w:rsidRPr="0055545E">
        <w:rPr>
          <w:sz w:val="20"/>
        </w:rPr>
        <w:t>Dalība INES programmas neformālajā darba grupā par ziņojuma Education at a Glance pāreju uz digitālo publikāciju.</w:t>
      </w:r>
    </w:p>
    <w:p w:rsidR="0055545E" w:rsidRPr="00E3084F" w:rsidRDefault="0055545E" w:rsidP="0055545E">
      <w:pPr>
        <w:jc w:val="both"/>
        <w:rPr>
          <w:sz w:val="20"/>
          <w:szCs w:val="20"/>
        </w:rPr>
      </w:pPr>
      <w:r w:rsidRPr="00E3084F">
        <w:rPr>
          <w:sz w:val="20"/>
          <w:szCs w:val="20"/>
        </w:rPr>
        <w:lastRenderedPageBreak/>
        <w:t>Dalība INES-NESLI neformālajā darba grupā par skolotāju relatīvo algu indikatora uzlabošanu.</w:t>
      </w:r>
    </w:p>
    <w:p w:rsidR="0055545E" w:rsidRPr="00E3084F" w:rsidRDefault="0055545E" w:rsidP="0055545E">
      <w:pPr>
        <w:jc w:val="both"/>
        <w:rPr>
          <w:sz w:val="20"/>
          <w:szCs w:val="20"/>
        </w:rPr>
      </w:pPr>
    </w:p>
    <w:p w:rsidR="0055545E" w:rsidRPr="00E3084F" w:rsidRDefault="0055545E" w:rsidP="0055545E">
      <w:pPr>
        <w:jc w:val="both"/>
        <w:rPr>
          <w:sz w:val="20"/>
          <w:szCs w:val="20"/>
        </w:rPr>
      </w:pPr>
      <w:r w:rsidRPr="00E3084F">
        <w:rPr>
          <w:sz w:val="20"/>
          <w:szCs w:val="20"/>
        </w:rPr>
        <w:t>Centrālā statistikas pārvalde no OECD ir saņēmusi un aizpildījusi informāciju priekšizpētes aptaujai par mācībspēkiem un pētniekiem augstākajā izglītībā.</w:t>
      </w:r>
    </w:p>
    <w:p w:rsidR="0055545E" w:rsidRPr="00E3084F" w:rsidRDefault="0055545E" w:rsidP="0055545E">
      <w:pPr>
        <w:jc w:val="both"/>
        <w:rPr>
          <w:sz w:val="20"/>
          <w:szCs w:val="20"/>
        </w:rPr>
      </w:pPr>
    </w:p>
    <w:p w:rsidR="0019569D" w:rsidRPr="00E3084F" w:rsidRDefault="0055545E" w:rsidP="0055545E">
      <w:pPr>
        <w:jc w:val="both"/>
        <w:rPr>
          <w:sz w:val="20"/>
          <w:szCs w:val="20"/>
        </w:rPr>
      </w:pPr>
      <w:r w:rsidRPr="00E3084F">
        <w:rPr>
          <w:sz w:val="20"/>
          <w:szCs w:val="20"/>
        </w:rPr>
        <w:t>2021.gada 17.septembrī organizēts pasākums "Ekonomiskās sadarbības un attīstības organizācijas (OECD) izglītības pārskata „Education at a Glance 2021” Latvijas datu prezentācija".</w:t>
      </w:r>
      <w:r w:rsidR="0019569D" w:rsidRPr="00E3084F">
        <w:rPr>
          <w:sz w:val="20"/>
          <w:szCs w:val="20"/>
        </w:rPr>
        <w:t xml:space="preserve"> </w:t>
      </w:r>
      <w:r w:rsidR="0019569D" w:rsidRPr="00E3084F">
        <w:rPr>
          <w:sz w:val="20"/>
          <w:szCs w:val="20"/>
        </w:rPr>
        <w:t>“Education at a Glance” ir pasaulē nozīmīgākais ziņojums par izglītības procesu kvalitāti OECD dalībvalstīs un partnervalstīs. Pārskats sniedz datus par izglītības sistēmu struktūru, finansēm un sniegumu. Šogad “Education at a Glance” caurviju temats ir vienlīdzīgas iespējas izglītībā. Tāpat ziņojumā vērtēta Covid-19 izraisītās pandēmijas ietekme uz izglītības sistēmām, aplūkota izglītības finansēšana un ietverti daudzveidīgi dati par skolotāju darbu.</w:t>
      </w:r>
      <w:r w:rsidR="0019569D" w:rsidRPr="00E3084F">
        <w:rPr>
          <w:sz w:val="20"/>
          <w:szCs w:val="20"/>
        </w:rPr>
        <w:t xml:space="preserve"> Ziņojumu prezentēja </w:t>
      </w:r>
      <w:r w:rsidR="0019569D" w:rsidRPr="00E3084F">
        <w:rPr>
          <w:sz w:val="20"/>
          <w:szCs w:val="20"/>
        </w:rPr>
        <w:t>OECD Izglītības un prasmju departamenta analītiķis Džovanni Marija Semiraro (Giovanni Maria Semeraro)</w:t>
      </w:r>
      <w:r w:rsidR="0019569D" w:rsidRPr="00E3084F">
        <w:rPr>
          <w:sz w:val="20"/>
          <w:szCs w:val="20"/>
        </w:rPr>
        <w:t>.</w:t>
      </w:r>
    </w:p>
    <w:p w:rsidR="0055545E" w:rsidRPr="00E3084F" w:rsidRDefault="0055545E" w:rsidP="0055545E">
      <w:pPr>
        <w:jc w:val="both"/>
        <w:rPr>
          <w:sz w:val="20"/>
          <w:szCs w:val="20"/>
        </w:rPr>
      </w:pPr>
      <w:r w:rsidRPr="00E3084F">
        <w:rPr>
          <w:sz w:val="20"/>
          <w:szCs w:val="20"/>
        </w:rPr>
        <w:t>Education at a Glance 2021 (ar OECD prezentāciju angļu valodā):</w:t>
      </w:r>
    </w:p>
    <w:p w:rsidR="0055545E" w:rsidRPr="00E3084F" w:rsidRDefault="003415EF" w:rsidP="0055545E">
      <w:pPr>
        <w:jc w:val="both"/>
        <w:rPr>
          <w:rFonts w:cs="Times New Roman"/>
          <w:sz w:val="20"/>
          <w:szCs w:val="20"/>
        </w:rPr>
      </w:pPr>
      <w:hyperlink r:id="rId9" w:history="1">
        <w:r w:rsidR="0055545E" w:rsidRPr="00E3084F">
          <w:rPr>
            <w:rStyle w:val="Hyperlink"/>
            <w:rFonts w:cs="Times New Roman"/>
            <w:sz w:val="20"/>
            <w:szCs w:val="20"/>
          </w:rPr>
          <w:t>https://www.youtube.com/watch?v=r8A0PMli7iA&amp;t=1724s</w:t>
        </w:r>
      </w:hyperlink>
      <w:r w:rsidR="0055545E" w:rsidRPr="00E3084F">
        <w:rPr>
          <w:rFonts w:cs="Times New Roman"/>
          <w:sz w:val="20"/>
          <w:szCs w:val="20"/>
        </w:rPr>
        <w:t>.</w:t>
      </w:r>
    </w:p>
    <w:p w:rsidR="0055545E" w:rsidRPr="00E3084F" w:rsidRDefault="0055545E" w:rsidP="0055545E">
      <w:pPr>
        <w:jc w:val="both"/>
        <w:rPr>
          <w:sz w:val="20"/>
          <w:szCs w:val="20"/>
        </w:rPr>
      </w:pPr>
      <w:r w:rsidRPr="00E3084F">
        <w:rPr>
          <w:sz w:val="20"/>
          <w:szCs w:val="20"/>
        </w:rPr>
        <w:t>OECD Education at a Glance 2021 (ar OECD prezentāciju latviešu valodā):</w:t>
      </w:r>
    </w:p>
    <w:p w:rsidR="0055545E" w:rsidRPr="00E3084F" w:rsidRDefault="003415EF" w:rsidP="0055545E">
      <w:pPr>
        <w:jc w:val="both"/>
        <w:rPr>
          <w:rFonts w:cs="Times New Roman"/>
          <w:sz w:val="20"/>
          <w:szCs w:val="20"/>
        </w:rPr>
      </w:pPr>
      <w:hyperlink r:id="rId10" w:history="1">
        <w:r w:rsidR="0055545E" w:rsidRPr="00E3084F">
          <w:rPr>
            <w:rStyle w:val="Hyperlink"/>
            <w:rFonts w:cs="Times New Roman"/>
            <w:sz w:val="20"/>
            <w:szCs w:val="20"/>
          </w:rPr>
          <w:t>https://www.youtube.com/watch?v=pDoCK_580tA&amp;t=1102s</w:t>
        </w:r>
      </w:hyperlink>
      <w:r w:rsidR="0055545E" w:rsidRPr="00E3084F">
        <w:rPr>
          <w:rFonts w:cs="Times New Roman"/>
          <w:sz w:val="20"/>
          <w:szCs w:val="20"/>
        </w:rPr>
        <w:t>.</w:t>
      </w:r>
    </w:p>
    <w:p w:rsidR="00004126" w:rsidRPr="00004126" w:rsidRDefault="00004126" w:rsidP="0019569D">
      <w:pPr>
        <w:spacing w:before="480" w:after="120"/>
        <w:rPr>
          <w:b/>
          <w:color w:val="674690"/>
          <w:sz w:val="24"/>
        </w:rPr>
      </w:pPr>
      <w:r w:rsidRPr="00004126">
        <w:rPr>
          <w:b/>
          <w:color w:val="674690"/>
          <w:sz w:val="24"/>
        </w:rPr>
        <w:t xml:space="preserve">IEA </w:t>
      </w:r>
      <w:r w:rsidR="00C2759C">
        <w:rPr>
          <w:b/>
          <w:color w:val="674690"/>
          <w:sz w:val="24"/>
        </w:rPr>
        <w:t xml:space="preserve">Starptautiskā lasītprasmes novērtēšanas pētījuma </w:t>
      </w:r>
      <w:r w:rsidRPr="00004126">
        <w:rPr>
          <w:b/>
          <w:color w:val="674690"/>
          <w:sz w:val="24"/>
        </w:rPr>
        <w:t>IEA PIRLS 2021 īstenošana un iegūto datu analīze</w:t>
      </w:r>
    </w:p>
    <w:p w:rsidR="00004126" w:rsidRPr="00004126" w:rsidRDefault="00004126" w:rsidP="00004126">
      <w:pPr>
        <w:jc w:val="both"/>
        <w:rPr>
          <w:rFonts w:cs="Times New Roman"/>
          <w:sz w:val="20"/>
          <w:szCs w:val="28"/>
        </w:rPr>
      </w:pPr>
      <w:r w:rsidRPr="00004126">
        <w:rPr>
          <w:rFonts w:cs="Times New Roman"/>
          <w:sz w:val="20"/>
          <w:szCs w:val="28"/>
        </w:rPr>
        <w:t>Pārskata periodā turpinās sagatavošanās darbs pamatpētījumam PIRLS 2021.</w:t>
      </w:r>
    </w:p>
    <w:p w:rsidR="0055545E" w:rsidRPr="00004126" w:rsidRDefault="00004126" w:rsidP="00004126">
      <w:pPr>
        <w:jc w:val="both"/>
        <w:rPr>
          <w:rFonts w:cs="Times New Roman"/>
          <w:sz w:val="20"/>
          <w:szCs w:val="28"/>
        </w:rPr>
      </w:pPr>
      <w:r w:rsidRPr="00004126">
        <w:rPr>
          <w:rFonts w:cs="Times New Roman"/>
          <w:sz w:val="20"/>
          <w:szCs w:val="28"/>
        </w:rPr>
        <w:t>Visām pētījuma dalībskolām sagatavoti, sakomplektēti un nosūtīti pētījuma materiāli. Katrai skolai sagatavotas un kopā ar instrumentiem nosūtītas skolas koordinatora instrukcijas, testēšanas vadītāju instrukcijas (atbilstoši mācību valodai), skolēnu uzskaites formas, testa vadīšanas formas.</w:t>
      </w:r>
    </w:p>
    <w:p w:rsidR="00004126" w:rsidRPr="00004126" w:rsidRDefault="00004126" w:rsidP="0019569D">
      <w:pPr>
        <w:spacing w:before="480" w:after="120"/>
        <w:rPr>
          <w:b/>
          <w:color w:val="674690"/>
          <w:sz w:val="24"/>
        </w:rPr>
      </w:pPr>
      <w:r w:rsidRPr="00004126">
        <w:rPr>
          <w:b/>
          <w:color w:val="674690"/>
          <w:sz w:val="24"/>
        </w:rPr>
        <w:t xml:space="preserve">OECD </w:t>
      </w:r>
      <w:r w:rsidR="00C2759C">
        <w:rPr>
          <w:b/>
          <w:color w:val="674690"/>
          <w:sz w:val="24"/>
        </w:rPr>
        <w:t xml:space="preserve">Starptautiskās pieaugušo prasmju novērtēšanas programmas pētījuma </w:t>
      </w:r>
      <w:r w:rsidRPr="00004126">
        <w:rPr>
          <w:b/>
          <w:color w:val="674690"/>
          <w:sz w:val="24"/>
        </w:rPr>
        <w:t>PIAAC īstenošana un iegūto datu analīze</w:t>
      </w:r>
    </w:p>
    <w:p w:rsidR="00004126" w:rsidRPr="00004126" w:rsidRDefault="00004126" w:rsidP="00004126">
      <w:pPr>
        <w:jc w:val="both"/>
        <w:rPr>
          <w:rFonts w:cs="Times New Roman"/>
          <w:sz w:val="20"/>
          <w:szCs w:val="28"/>
        </w:rPr>
      </w:pPr>
      <w:r w:rsidRPr="00004126">
        <w:rPr>
          <w:rFonts w:cs="Times New Roman"/>
          <w:sz w:val="20"/>
          <w:szCs w:val="28"/>
        </w:rPr>
        <w:t>Darbu PIAAC projektā 2021.gada trešajā ceturksnī turpināja ietekmēt COVID-19 izplatība, kas bija iepriekš neparedzēts risks.</w:t>
      </w:r>
      <w:r w:rsidR="0019569D">
        <w:rPr>
          <w:rFonts w:cs="Times New Roman"/>
          <w:sz w:val="20"/>
          <w:szCs w:val="28"/>
        </w:rPr>
        <w:t xml:space="preserve"> </w:t>
      </w:r>
      <w:r w:rsidRPr="00004126">
        <w:rPr>
          <w:rFonts w:cs="Times New Roman"/>
          <w:sz w:val="20"/>
          <w:szCs w:val="28"/>
        </w:rPr>
        <w:t>Pārskata periodā projekta īstenotāju grupa turpināja darboties samazinātā sastāvā – atbilstoši iepriekš pieņemtajiem lēmumiem.</w:t>
      </w:r>
    </w:p>
    <w:p w:rsidR="00004126" w:rsidRPr="00004126" w:rsidRDefault="00004126" w:rsidP="00004126">
      <w:pPr>
        <w:jc w:val="both"/>
        <w:rPr>
          <w:rFonts w:cs="Times New Roman"/>
          <w:sz w:val="20"/>
          <w:szCs w:val="28"/>
        </w:rPr>
      </w:pPr>
      <w:r w:rsidRPr="00004126">
        <w:rPr>
          <w:rFonts w:cs="Times New Roman"/>
          <w:sz w:val="20"/>
          <w:szCs w:val="28"/>
        </w:rPr>
        <w:t>Pārskata periodā turpinājās darbs divos galvenajos virzienos – lauka darba veicēju identificēšana un izlases informācijas nodrošināšana. Komunicējot ar OECD PIAAC konsorcija vadību ir panākta vienošanās par lauka darba apjoma samazināšanu – ir panākta vienošanās par to, ka pilotpētījuma vietā tiek veikta pētījuma simulācija.</w:t>
      </w:r>
    </w:p>
    <w:p w:rsidR="00004126" w:rsidRPr="00004126" w:rsidRDefault="00004126" w:rsidP="00004126">
      <w:pPr>
        <w:jc w:val="both"/>
        <w:rPr>
          <w:rFonts w:cs="Times New Roman"/>
          <w:sz w:val="20"/>
          <w:szCs w:val="28"/>
        </w:rPr>
      </w:pPr>
      <w:r w:rsidRPr="00004126">
        <w:rPr>
          <w:rFonts w:cs="Times New Roman"/>
          <w:sz w:val="20"/>
          <w:szCs w:val="28"/>
        </w:rPr>
        <w:t>Izsludinātais datu vākšanas iepirkums noslē</w:t>
      </w:r>
      <w:r w:rsidR="0019569D">
        <w:rPr>
          <w:rFonts w:cs="Times New Roman"/>
          <w:sz w:val="20"/>
          <w:szCs w:val="28"/>
        </w:rPr>
        <w:t>dzās bez rezultāta. Sarunās ar LR Izglītības un zinātnes ministriju</w:t>
      </w:r>
      <w:r w:rsidRPr="00004126">
        <w:rPr>
          <w:rFonts w:cs="Times New Roman"/>
          <w:sz w:val="20"/>
          <w:szCs w:val="28"/>
        </w:rPr>
        <w:t xml:space="preserve"> tika panākta vienošanās par iespēju palielināt finansējumu datu i</w:t>
      </w:r>
      <w:r w:rsidR="0019569D">
        <w:rPr>
          <w:rFonts w:cs="Times New Roman"/>
          <w:sz w:val="20"/>
          <w:szCs w:val="28"/>
        </w:rPr>
        <w:t>eguves pakalpojuma veikšanai. S</w:t>
      </w:r>
      <w:r w:rsidRPr="00004126">
        <w:rPr>
          <w:rFonts w:cs="Times New Roman"/>
          <w:sz w:val="20"/>
          <w:szCs w:val="28"/>
        </w:rPr>
        <w:t xml:space="preserve">ākts darbs pie jauna iepirkuma nolikuma sagatavošanas. Ņemot vērā aktivitāšu plānā un budžeta plānā veiktās izmaiņas, precizēta lauka darba iepirkuma dokumentācija. Atkārtoti veikta tirgus izpēte. Lai noskaidrotu potenciālos aptaujas pakalpojumu piedāvātājus, veikts Latvijā lielāko sociālo pētījumu uzņēmumu mājaslapu apsekojums. Šādu pakalpojumu - iedzīvotāju aptaujas, kas tiek veiktas kā datorizētas tiešās intervijas respondentu dzīvesvietās, piedāvā vairāki uzņēmumi, tajā skaitā Kantar TNS Latvija, Pētījumu centrs SKDS, SIA “Latvijas Fakti”. </w:t>
      </w:r>
      <w:r w:rsidR="0019569D">
        <w:rPr>
          <w:rFonts w:cs="Times New Roman"/>
          <w:sz w:val="20"/>
          <w:szCs w:val="28"/>
        </w:rPr>
        <w:t>Iepirkums datu vākšanas pakalpojumam atkārtoti</w:t>
      </w:r>
      <w:r w:rsidRPr="00004126">
        <w:rPr>
          <w:rFonts w:cs="Times New Roman"/>
          <w:sz w:val="20"/>
          <w:szCs w:val="28"/>
        </w:rPr>
        <w:t xml:space="preserve"> izsludināts novembra mēneša pirmajā pusē.</w:t>
      </w:r>
    </w:p>
    <w:p w:rsidR="00004126" w:rsidRPr="00004126" w:rsidRDefault="00004126" w:rsidP="0019569D">
      <w:pPr>
        <w:spacing w:before="480" w:after="120"/>
        <w:rPr>
          <w:b/>
          <w:color w:val="674690"/>
          <w:sz w:val="24"/>
        </w:rPr>
      </w:pPr>
      <w:r w:rsidRPr="00004126">
        <w:rPr>
          <w:b/>
          <w:color w:val="674690"/>
          <w:sz w:val="24"/>
        </w:rPr>
        <w:t xml:space="preserve">IEA </w:t>
      </w:r>
      <w:r w:rsidR="00C2759C">
        <w:rPr>
          <w:b/>
          <w:color w:val="674690"/>
          <w:sz w:val="24"/>
        </w:rPr>
        <w:t xml:space="preserve">Starptautiskā matemātikas un dabaszinātņu izglītības attīstības tendenču pētījuma </w:t>
      </w:r>
      <w:r w:rsidRPr="00004126">
        <w:rPr>
          <w:b/>
          <w:color w:val="674690"/>
          <w:sz w:val="24"/>
        </w:rPr>
        <w:t>TIMSS 2019 īstenošana un iegūto datu analīze</w:t>
      </w:r>
    </w:p>
    <w:p w:rsidR="00004126" w:rsidRPr="0019569D" w:rsidRDefault="00004126" w:rsidP="00004126">
      <w:pPr>
        <w:jc w:val="both"/>
        <w:rPr>
          <w:rFonts w:cs="Times New Roman"/>
          <w:sz w:val="20"/>
          <w:szCs w:val="24"/>
        </w:rPr>
      </w:pPr>
      <w:r w:rsidRPr="0019569D">
        <w:rPr>
          <w:rFonts w:cs="Times New Roman"/>
          <w:sz w:val="20"/>
          <w:szCs w:val="24"/>
        </w:rPr>
        <w:t>Turpinās darbs pie IEA TIMSS 2023 izmēģinājuma pētījuma sagatavošanas IEA noteiktajām prasībām:</w:t>
      </w:r>
    </w:p>
    <w:p w:rsidR="00004126" w:rsidRPr="008232BD" w:rsidRDefault="00004126" w:rsidP="008232BD">
      <w:pPr>
        <w:pStyle w:val="ListParagraph"/>
        <w:numPr>
          <w:ilvl w:val="0"/>
          <w:numId w:val="8"/>
        </w:numPr>
        <w:jc w:val="both"/>
        <w:rPr>
          <w:rFonts w:cs="Times New Roman"/>
          <w:sz w:val="20"/>
          <w:szCs w:val="28"/>
        </w:rPr>
      </w:pPr>
      <w:r w:rsidRPr="008232BD">
        <w:rPr>
          <w:rFonts w:cs="Times New Roman"/>
          <w:sz w:val="20"/>
          <w:szCs w:val="28"/>
        </w:rPr>
        <w:t>Pabeigta izlases dizaina specifikas noteikšana un skolas izlases ietvara izveide.</w:t>
      </w:r>
    </w:p>
    <w:p w:rsidR="00004126" w:rsidRPr="008232BD" w:rsidRDefault="00004126" w:rsidP="008232BD">
      <w:pPr>
        <w:pStyle w:val="ListParagraph"/>
        <w:numPr>
          <w:ilvl w:val="0"/>
          <w:numId w:val="8"/>
        </w:numPr>
        <w:jc w:val="both"/>
        <w:rPr>
          <w:rFonts w:cs="Times New Roman"/>
          <w:sz w:val="20"/>
          <w:szCs w:val="28"/>
        </w:rPr>
      </w:pPr>
      <w:r w:rsidRPr="008232BD">
        <w:rPr>
          <w:rFonts w:cs="Times New Roman"/>
          <w:sz w:val="20"/>
          <w:szCs w:val="28"/>
        </w:rPr>
        <w:t>Turpinās darbs pie instrumentu izstrādes.</w:t>
      </w:r>
    </w:p>
    <w:p w:rsidR="00F32868" w:rsidRPr="00F32868" w:rsidRDefault="00F32868" w:rsidP="00F32868">
      <w:pPr>
        <w:spacing w:before="480" w:line="360" w:lineRule="auto"/>
        <w:rPr>
          <w:b/>
          <w:color w:val="674690"/>
          <w:sz w:val="24"/>
        </w:rPr>
      </w:pPr>
      <w:r w:rsidRPr="00F32868">
        <w:rPr>
          <w:b/>
          <w:color w:val="674690"/>
          <w:sz w:val="24"/>
        </w:rPr>
        <w:lastRenderedPageBreak/>
        <w:t xml:space="preserve">Dalība OECD </w:t>
      </w:r>
      <w:r w:rsidR="00C2759C">
        <w:rPr>
          <w:b/>
          <w:color w:val="674690"/>
          <w:sz w:val="24"/>
        </w:rPr>
        <w:t xml:space="preserve">Izglītības pētījumu un inovāciju centra </w:t>
      </w:r>
      <w:r w:rsidRPr="00F32868">
        <w:rPr>
          <w:b/>
          <w:color w:val="674690"/>
          <w:sz w:val="24"/>
        </w:rPr>
        <w:t>CERI programmā</w:t>
      </w:r>
    </w:p>
    <w:p w:rsidR="00F32868" w:rsidRPr="00F32868" w:rsidRDefault="00F32868" w:rsidP="00F32868">
      <w:pPr>
        <w:jc w:val="both"/>
        <w:rPr>
          <w:rFonts w:cs="Times New Roman"/>
          <w:sz w:val="20"/>
          <w:szCs w:val="28"/>
        </w:rPr>
      </w:pPr>
      <w:r w:rsidRPr="00F32868">
        <w:rPr>
          <w:rFonts w:cs="Times New Roman"/>
          <w:sz w:val="20"/>
          <w:szCs w:val="28"/>
        </w:rPr>
        <w:t xml:space="preserve">Pārskata periodā nodrošināta Latvijas informācija CERI aptaujai “Izglītības pētniecības politikas stiprināšana” un CERI aptaujai par aktuāliem pētniecības jautājumiem Covid-19 kontekstā. </w:t>
      </w:r>
    </w:p>
    <w:p w:rsidR="00F32868" w:rsidRPr="00F32868" w:rsidRDefault="00F32868" w:rsidP="00F32868">
      <w:pPr>
        <w:jc w:val="both"/>
        <w:rPr>
          <w:rFonts w:cs="Times New Roman"/>
          <w:sz w:val="20"/>
          <w:szCs w:val="28"/>
        </w:rPr>
      </w:pPr>
      <w:r w:rsidRPr="00F32868">
        <w:rPr>
          <w:rFonts w:cs="Times New Roman"/>
          <w:sz w:val="20"/>
          <w:szCs w:val="28"/>
        </w:rPr>
        <w:t xml:space="preserve">Komunikācija ar Latvijas Universitāti un CERI par </w:t>
      </w:r>
      <w:r w:rsidR="0019569D">
        <w:rPr>
          <w:rFonts w:cs="Times New Roman"/>
          <w:sz w:val="20"/>
          <w:szCs w:val="28"/>
        </w:rPr>
        <w:t>Latvijas Universitātes</w:t>
      </w:r>
      <w:r w:rsidRPr="00F32868">
        <w:rPr>
          <w:rFonts w:cs="Times New Roman"/>
          <w:sz w:val="20"/>
          <w:szCs w:val="28"/>
        </w:rPr>
        <w:t xml:space="preserve"> Pedagoģijas, psiholoģijas un mākslas fakultātes pētnieku iesaisti CERI pilotprojektā par radošuma un kritiskās domāšanas standartizētu vērtēšanu augstākajā izglītībā.</w:t>
      </w:r>
    </w:p>
    <w:p w:rsidR="00F32868" w:rsidRPr="00F32868" w:rsidRDefault="00F32868" w:rsidP="00F32868">
      <w:pPr>
        <w:spacing w:before="480" w:line="360" w:lineRule="auto"/>
        <w:rPr>
          <w:b/>
          <w:color w:val="674690"/>
          <w:sz w:val="24"/>
        </w:rPr>
      </w:pPr>
      <w:r w:rsidRPr="00F32868">
        <w:rPr>
          <w:b/>
          <w:color w:val="674690"/>
          <w:sz w:val="24"/>
        </w:rPr>
        <w:t>Projekta vadība un īstenošanas nodrošināšana</w:t>
      </w:r>
    </w:p>
    <w:p w:rsidR="00F32868" w:rsidRPr="00F32868" w:rsidRDefault="00F32868" w:rsidP="00F32868">
      <w:pPr>
        <w:jc w:val="both"/>
        <w:rPr>
          <w:rFonts w:cs="Times New Roman"/>
          <w:sz w:val="20"/>
          <w:szCs w:val="28"/>
        </w:rPr>
      </w:pPr>
      <w:r w:rsidRPr="00F32868">
        <w:rPr>
          <w:rFonts w:cs="Times New Roman"/>
          <w:sz w:val="20"/>
          <w:szCs w:val="28"/>
        </w:rPr>
        <w:t>Projekta komandas darbs pielāgots COVID 19 radītās ietekmes izmaiņām. Darbs norit</w:t>
      </w:r>
      <w:r w:rsidRPr="00FE008B">
        <w:rPr>
          <w:rFonts w:ascii="Times New Roman" w:hAnsi="Times New Roman" w:cs="Times New Roman"/>
          <w:sz w:val="28"/>
          <w:szCs w:val="28"/>
        </w:rPr>
        <w:t xml:space="preserve"> </w:t>
      </w:r>
      <w:r w:rsidRPr="00F32868">
        <w:rPr>
          <w:rFonts w:cs="Times New Roman"/>
          <w:sz w:val="20"/>
          <w:szCs w:val="28"/>
        </w:rPr>
        <w:t>gan attālināti, gan klātienē - šajā periodā projekta speciālisti aptuveni 90% darba laika</w:t>
      </w:r>
      <w:r w:rsidR="0019569D">
        <w:rPr>
          <w:rFonts w:cs="Times New Roman"/>
          <w:sz w:val="20"/>
          <w:szCs w:val="28"/>
        </w:rPr>
        <w:t xml:space="preserve"> atrodas attālināti. Joprojām vērojams procesu palēninājums</w:t>
      </w:r>
      <w:r w:rsidRPr="00F32868">
        <w:rPr>
          <w:rFonts w:cs="Times New Roman"/>
          <w:sz w:val="20"/>
          <w:szCs w:val="28"/>
        </w:rPr>
        <w:t xml:space="preserve"> gan dokumentācijas aprites, gan saziņas un lēmumu pieņemšanas jomās.</w:t>
      </w:r>
    </w:p>
    <w:p w:rsidR="009C5B30" w:rsidRPr="00F32868" w:rsidRDefault="00F32868" w:rsidP="00F32868">
      <w:pPr>
        <w:jc w:val="both"/>
        <w:rPr>
          <w:rFonts w:cs="Times New Roman"/>
          <w:sz w:val="20"/>
          <w:szCs w:val="28"/>
        </w:rPr>
      </w:pPr>
      <w:r w:rsidRPr="00F32868">
        <w:rPr>
          <w:rFonts w:cs="Times New Roman"/>
          <w:sz w:val="20"/>
          <w:szCs w:val="28"/>
        </w:rPr>
        <w:t xml:space="preserve">09.08.2021. parakstīts līgums ar AS Delfi par podkāstu sērijas </w:t>
      </w:r>
      <w:r w:rsidR="008232BD" w:rsidRPr="00F32868">
        <w:rPr>
          <w:rFonts w:cs="Times New Roman"/>
          <w:sz w:val="20"/>
          <w:szCs w:val="28"/>
        </w:rPr>
        <w:t xml:space="preserve">izveidi </w:t>
      </w:r>
      <w:r w:rsidRPr="00F32868">
        <w:rPr>
          <w:rFonts w:cs="Times New Roman"/>
          <w:sz w:val="20"/>
          <w:szCs w:val="28"/>
        </w:rPr>
        <w:t xml:space="preserve">par starptautiskiem pētījumiem. Uzsākts </w:t>
      </w:r>
      <w:bookmarkStart w:id="0" w:name="_GoBack"/>
      <w:bookmarkEnd w:id="0"/>
      <w:r w:rsidRPr="00F32868">
        <w:rPr>
          <w:rFonts w:cs="Times New Roman"/>
          <w:sz w:val="20"/>
          <w:szCs w:val="28"/>
        </w:rPr>
        <w:t>darbs pie informācijas apko</w:t>
      </w:r>
      <w:r w:rsidR="008232BD">
        <w:rPr>
          <w:rFonts w:cs="Times New Roman"/>
          <w:sz w:val="20"/>
          <w:szCs w:val="28"/>
        </w:rPr>
        <w:t>pošanas. Līguma ietvaros plānot</w:t>
      </w:r>
      <w:r w:rsidRPr="00F32868">
        <w:rPr>
          <w:rFonts w:cs="Times New Roman"/>
          <w:sz w:val="20"/>
          <w:szCs w:val="28"/>
        </w:rPr>
        <w:t xml:space="preserve">s sagatavot un publicēt 7 podkāstu epizodes, </w:t>
      </w:r>
      <w:r w:rsidR="008232BD">
        <w:rPr>
          <w:rFonts w:cs="Times New Roman"/>
          <w:sz w:val="20"/>
          <w:szCs w:val="28"/>
        </w:rPr>
        <w:t xml:space="preserve">kā arī </w:t>
      </w:r>
      <w:r w:rsidRPr="00F32868">
        <w:rPr>
          <w:rFonts w:cs="Times New Roman"/>
          <w:sz w:val="20"/>
          <w:szCs w:val="28"/>
        </w:rPr>
        <w:t>pavadrakst</w:t>
      </w:r>
      <w:r w:rsidR="008232BD">
        <w:rPr>
          <w:rFonts w:cs="Times New Roman"/>
          <w:sz w:val="20"/>
          <w:szCs w:val="28"/>
        </w:rPr>
        <w:t>a</w:t>
      </w:r>
      <w:r w:rsidRPr="00F32868">
        <w:rPr>
          <w:rFonts w:cs="Times New Roman"/>
          <w:sz w:val="20"/>
          <w:szCs w:val="28"/>
        </w:rPr>
        <w:t>, kas papildināt</w:t>
      </w:r>
      <w:r w:rsidR="008232BD">
        <w:rPr>
          <w:rFonts w:cs="Times New Roman"/>
          <w:sz w:val="20"/>
          <w:szCs w:val="28"/>
        </w:rPr>
        <w:t>s</w:t>
      </w:r>
      <w:r w:rsidRPr="00F32868">
        <w:rPr>
          <w:rFonts w:cs="Times New Roman"/>
          <w:sz w:val="20"/>
          <w:szCs w:val="28"/>
        </w:rPr>
        <w:t xml:space="preserve"> ar foto un </w:t>
      </w:r>
      <w:r w:rsidR="0035305A" w:rsidRPr="00F32868">
        <w:rPr>
          <w:rFonts w:cs="Times New Roman"/>
          <w:sz w:val="20"/>
          <w:szCs w:val="28"/>
        </w:rPr>
        <w:t>info grafikām</w:t>
      </w:r>
      <w:r w:rsidRPr="00F32868">
        <w:rPr>
          <w:rFonts w:cs="Times New Roman"/>
          <w:sz w:val="20"/>
          <w:szCs w:val="28"/>
        </w:rPr>
        <w:t>, sagatavošana un publicēšana.</w:t>
      </w:r>
    </w:p>
    <w:sectPr w:rsidR="009C5B30" w:rsidRPr="00F32868" w:rsidSect="004654F8">
      <w:footerReference w:type="default" r:id="rId11"/>
      <w:pgSz w:w="12240" w:h="15840"/>
      <w:pgMar w:top="450" w:right="1020" w:bottom="1200" w:left="1340" w:header="0" w:footer="101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15EF" w:rsidRDefault="003415EF">
      <w:r>
        <w:separator/>
      </w:r>
    </w:p>
  </w:endnote>
  <w:endnote w:type="continuationSeparator" w:id="0">
    <w:p w:rsidR="003415EF" w:rsidRDefault="003415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7EE3" w:rsidRDefault="00190455">
    <w:pPr>
      <w:pStyle w:val="BodyText"/>
      <w:spacing w:line="14" w:lineRule="auto"/>
    </w:pPr>
    <w:r>
      <w:rPr>
        <w:noProof/>
        <w:lang w:val="en-US"/>
      </w:rPr>
      <mc:AlternateContent>
        <mc:Choice Requires="wps">
          <w:drawing>
            <wp:anchor distT="0" distB="0" distL="114300" distR="114300" simplePos="0" relativeHeight="251657728" behindDoc="1" locked="0" layoutInCell="1" allowOverlap="1">
              <wp:simplePos x="0" y="0"/>
              <wp:positionH relativeFrom="page">
                <wp:posOffset>6935470</wp:posOffset>
              </wp:positionH>
              <wp:positionV relativeFrom="page">
                <wp:posOffset>9272270</wp:posOffset>
              </wp:positionV>
              <wp:extent cx="169545" cy="179705"/>
              <wp:effectExtent l="0" t="0" r="0" b="0"/>
              <wp:wrapNone/>
              <wp:docPr id="2"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 cy="17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7EE3" w:rsidRDefault="00F91AD9">
                          <w:pPr>
                            <w:pStyle w:val="BodyText"/>
                            <w:spacing w:before="19"/>
                            <w:ind w:left="60"/>
                          </w:pPr>
                          <w:r>
                            <w:fldChar w:fldCharType="begin"/>
                          </w:r>
                          <w:r>
                            <w:rPr>
                              <w:w w:val="99"/>
                            </w:rPr>
                            <w:instrText xml:space="preserve"> PAGE </w:instrText>
                          </w:r>
                          <w:r>
                            <w:fldChar w:fldCharType="separate"/>
                          </w:r>
                          <w:r w:rsidR="00E3084F">
                            <w:rPr>
                              <w:noProof/>
                              <w:w w:val="99"/>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1" o:spid="_x0000_s1026" type="#_x0000_t202" style="position:absolute;margin-left:546.1pt;margin-top:730.1pt;width:13.35pt;height:14.1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" filled="f" stroked="f">
              <v:textbox inset="0,0,0,0">
                <w:txbxContent>
                  <w:p w:rsidR="00817EE3" w:rsidRDefault="00F91AD9">
                    <w:pPr>
                      <w:pStyle w:val="BodyText"/>
                      <w:spacing w:before="19"/>
                      <w:ind w:left="60"/>
                    </w:pPr>
                    <w:r>
                      <w:fldChar w:fldCharType="begin"/>
                    </w:r>
                    <w:r>
                      <w:rPr>
                        <w:w w:val="99"/>
                      </w:rPr>
                      <w:instrText xml:space="preserve"> PAGE </w:instrText>
                    </w:r>
                    <w:r>
                      <w:fldChar w:fldCharType="separate"/>
                    </w:r>
                    <w:r w:rsidR="00E3084F">
                      <w:rPr>
                        <w:noProof/>
                        <w:w w:val="99"/>
                      </w:rPr>
                      <w:t>3</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15EF" w:rsidRDefault="003415EF">
      <w:r>
        <w:separator/>
      </w:r>
    </w:p>
  </w:footnote>
  <w:footnote w:type="continuationSeparator" w:id="0">
    <w:p w:rsidR="003415EF" w:rsidRDefault="003415E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BA111D"/>
    <w:multiLevelType w:val="hybridMultilevel"/>
    <w:tmpl w:val="52727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59F2766"/>
    <w:multiLevelType w:val="hybridMultilevel"/>
    <w:tmpl w:val="541E8310"/>
    <w:lvl w:ilvl="0" w:tplc="728497BA">
      <w:numFmt w:val="bullet"/>
      <w:lvlText w:val=""/>
      <w:lvlJc w:val="left"/>
      <w:pPr>
        <w:ind w:left="820" w:hanging="360"/>
      </w:pPr>
      <w:rPr>
        <w:rFonts w:ascii="Symbol" w:eastAsia="Symbol" w:hAnsi="Symbol" w:cs="Symbol" w:hint="default"/>
        <w:b w:val="0"/>
        <w:bCs w:val="0"/>
        <w:i w:val="0"/>
        <w:iCs w:val="0"/>
        <w:w w:val="99"/>
        <w:sz w:val="20"/>
        <w:szCs w:val="20"/>
        <w:lang w:val="lv-LV" w:eastAsia="en-US" w:bidi="ar-SA"/>
      </w:rPr>
    </w:lvl>
    <w:lvl w:ilvl="1" w:tplc="4DB0E51A">
      <w:numFmt w:val="bullet"/>
      <w:lvlText w:val="•"/>
      <w:lvlJc w:val="left"/>
      <w:pPr>
        <w:ind w:left="1220" w:hanging="360"/>
      </w:pPr>
      <w:rPr>
        <w:rFonts w:hint="default"/>
        <w:lang w:val="lv-LV" w:eastAsia="en-US" w:bidi="ar-SA"/>
      </w:rPr>
    </w:lvl>
    <w:lvl w:ilvl="2" w:tplc="D0FE4526">
      <w:numFmt w:val="bullet"/>
      <w:lvlText w:val="•"/>
      <w:lvlJc w:val="left"/>
      <w:pPr>
        <w:ind w:left="2182" w:hanging="360"/>
      </w:pPr>
      <w:rPr>
        <w:rFonts w:hint="default"/>
        <w:lang w:val="lv-LV" w:eastAsia="en-US" w:bidi="ar-SA"/>
      </w:rPr>
    </w:lvl>
    <w:lvl w:ilvl="3" w:tplc="38043EFE">
      <w:numFmt w:val="bullet"/>
      <w:lvlText w:val="•"/>
      <w:lvlJc w:val="left"/>
      <w:pPr>
        <w:ind w:left="3144" w:hanging="360"/>
      </w:pPr>
      <w:rPr>
        <w:rFonts w:hint="default"/>
        <w:lang w:val="lv-LV" w:eastAsia="en-US" w:bidi="ar-SA"/>
      </w:rPr>
    </w:lvl>
    <w:lvl w:ilvl="4" w:tplc="225448A0">
      <w:numFmt w:val="bullet"/>
      <w:lvlText w:val="•"/>
      <w:lvlJc w:val="left"/>
      <w:pPr>
        <w:ind w:left="4106" w:hanging="360"/>
      </w:pPr>
      <w:rPr>
        <w:rFonts w:hint="default"/>
        <w:lang w:val="lv-LV" w:eastAsia="en-US" w:bidi="ar-SA"/>
      </w:rPr>
    </w:lvl>
    <w:lvl w:ilvl="5" w:tplc="974E2F9E">
      <w:numFmt w:val="bullet"/>
      <w:lvlText w:val="•"/>
      <w:lvlJc w:val="left"/>
      <w:pPr>
        <w:ind w:left="5068" w:hanging="360"/>
      </w:pPr>
      <w:rPr>
        <w:rFonts w:hint="default"/>
        <w:lang w:val="lv-LV" w:eastAsia="en-US" w:bidi="ar-SA"/>
      </w:rPr>
    </w:lvl>
    <w:lvl w:ilvl="6" w:tplc="2278981A">
      <w:numFmt w:val="bullet"/>
      <w:lvlText w:val="•"/>
      <w:lvlJc w:val="left"/>
      <w:pPr>
        <w:ind w:left="6031" w:hanging="360"/>
      </w:pPr>
      <w:rPr>
        <w:rFonts w:hint="default"/>
        <w:lang w:val="lv-LV" w:eastAsia="en-US" w:bidi="ar-SA"/>
      </w:rPr>
    </w:lvl>
    <w:lvl w:ilvl="7" w:tplc="B7D04DF2">
      <w:numFmt w:val="bullet"/>
      <w:lvlText w:val="•"/>
      <w:lvlJc w:val="left"/>
      <w:pPr>
        <w:ind w:left="6993" w:hanging="360"/>
      </w:pPr>
      <w:rPr>
        <w:rFonts w:hint="default"/>
        <w:lang w:val="lv-LV" w:eastAsia="en-US" w:bidi="ar-SA"/>
      </w:rPr>
    </w:lvl>
    <w:lvl w:ilvl="8" w:tplc="D41A7F30">
      <w:numFmt w:val="bullet"/>
      <w:lvlText w:val="•"/>
      <w:lvlJc w:val="left"/>
      <w:pPr>
        <w:ind w:left="7955" w:hanging="360"/>
      </w:pPr>
      <w:rPr>
        <w:rFonts w:hint="default"/>
        <w:lang w:val="lv-LV" w:eastAsia="en-US" w:bidi="ar-SA"/>
      </w:rPr>
    </w:lvl>
  </w:abstractNum>
  <w:abstractNum w:abstractNumId="2">
    <w:nsid w:val="1CAA666D"/>
    <w:multiLevelType w:val="hybridMultilevel"/>
    <w:tmpl w:val="4B682940"/>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3">
    <w:nsid w:val="1FF47933"/>
    <w:multiLevelType w:val="hybridMultilevel"/>
    <w:tmpl w:val="F190DD0A"/>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4">
    <w:nsid w:val="2A244F82"/>
    <w:multiLevelType w:val="hybridMultilevel"/>
    <w:tmpl w:val="076E4C62"/>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5">
    <w:nsid w:val="4E13658B"/>
    <w:multiLevelType w:val="hybridMultilevel"/>
    <w:tmpl w:val="83D637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D5A5D0C"/>
    <w:multiLevelType w:val="hybridMultilevel"/>
    <w:tmpl w:val="C88A0A2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nsid w:val="75563460"/>
    <w:multiLevelType w:val="hybridMultilevel"/>
    <w:tmpl w:val="F8940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7"/>
  </w:num>
  <w:num w:numId="5">
    <w:abstractNumId w:val="0"/>
  </w:num>
  <w:num w:numId="6">
    <w:abstractNumId w:val="3"/>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oNotDisplayPageBoundarie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EE3"/>
    <w:rsid w:val="00004126"/>
    <w:rsid w:val="00056C3A"/>
    <w:rsid w:val="001866E3"/>
    <w:rsid w:val="00190455"/>
    <w:rsid w:val="0019569D"/>
    <w:rsid w:val="00235167"/>
    <w:rsid w:val="0024004B"/>
    <w:rsid w:val="00277AD5"/>
    <w:rsid w:val="002F4E57"/>
    <w:rsid w:val="00304DBE"/>
    <w:rsid w:val="00324AB8"/>
    <w:rsid w:val="00334E04"/>
    <w:rsid w:val="003415EF"/>
    <w:rsid w:val="0035305A"/>
    <w:rsid w:val="0039272E"/>
    <w:rsid w:val="00411732"/>
    <w:rsid w:val="004639E2"/>
    <w:rsid w:val="004654F8"/>
    <w:rsid w:val="004E7ED8"/>
    <w:rsid w:val="00552743"/>
    <w:rsid w:val="0055545E"/>
    <w:rsid w:val="00576FB4"/>
    <w:rsid w:val="005A1BE1"/>
    <w:rsid w:val="00660C90"/>
    <w:rsid w:val="006A52DF"/>
    <w:rsid w:val="00706F29"/>
    <w:rsid w:val="007108E2"/>
    <w:rsid w:val="00733E3C"/>
    <w:rsid w:val="007D4854"/>
    <w:rsid w:val="00817EE3"/>
    <w:rsid w:val="00820DC7"/>
    <w:rsid w:val="008232BD"/>
    <w:rsid w:val="008B53E7"/>
    <w:rsid w:val="009114F6"/>
    <w:rsid w:val="009C5B30"/>
    <w:rsid w:val="00A35653"/>
    <w:rsid w:val="00A72072"/>
    <w:rsid w:val="00A82F40"/>
    <w:rsid w:val="00AC6405"/>
    <w:rsid w:val="00B078F0"/>
    <w:rsid w:val="00B54211"/>
    <w:rsid w:val="00C2759C"/>
    <w:rsid w:val="00C43841"/>
    <w:rsid w:val="00CB729B"/>
    <w:rsid w:val="00CF1E25"/>
    <w:rsid w:val="00D11EAE"/>
    <w:rsid w:val="00D21E97"/>
    <w:rsid w:val="00DA1F5E"/>
    <w:rsid w:val="00DB20D5"/>
    <w:rsid w:val="00DE0162"/>
    <w:rsid w:val="00E00108"/>
    <w:rsid w:val="00E3084F"/>
    <w:rsid w:val="00E41936"/>
    <w:rsid w:val="00E5669B"/>
    <w:rsid w:val="00EF71A2"/>
    <w:rsid w:val="00F32868"/>
    <w:rsid w:val="00F71414"/>
    <w:rsid w:val="00F91A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C4957FD-F932-4D9A-89EC-21C4E238C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Verdana" w:eastAsia="Verdana" w:hAnsi="Verdana" w:cs="Verdana"/>
      <w:lang w:val="lv-LV"/>
    </w:rPr>
  </w:style>
  <w:style w:type="paragraph" w:styleId="Heading1">
    <w:name w:val="heading 1"/>
    <w:basedOn w:val="Normal"/>
    <w:uiPriority w:val="1"/>
    <w:qFormat/>
    <w:pPr>
      <w:spacing w:before="195"/>
      <w:ind w:left="100"/>
      <w:outlineLvl w:val="0"/>
    </w:pPr>
    <w:rPr>
      <w:b/>
      <w:bCs/>
      <w:sz w:val="24"/>
      <w:szCs w:val="24"/>
    </w:rPr>
  </w:style>
  <w:style w:type="paragraph" w:styleId="Heading2">
    <w:name w:val="heading 2"/>
    <w:basedOn w:val="Normal"/>
    <w:uiPriority w:val="1"/>
    <w:qFormat/>
    <w:pPr>
      <w:spacing w:before="144"/>
      <w:ind w:left="100"/>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820" w:hanging="360"/>
    </w:pPr>
  </w:style>
  <w:style w:type="paragraph" w:customStyle="1" w:styleId="TableParagraph">
    <w:name w:val="Table Paragraph"/>
    <w:basedOn w:val="Normal"/>
    <w:uiPriority w:val="1"/>
    <w:qFormat/>
  </w:style>
  <w:style w:type="character" w:styleId="Hyperlink">
    <w:name w:val="Hyperlink"/>
    <w:basedOn w:val="DefaultParagraphFont"/>
    <w:uiPriority w:val="99"/>
    <w:semiHidden/>
    <w:unhideWhenUsed/>
    <w:rsid w:val="0055545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youtube.com/watch?v=pDoCK_580tA&amp;t=1102s" TargetMode="External"/><Relationship Id="rId4" Type="http://schemas.openxmlformats.org/officeDocument/2006/relationships/settings" Target="settings.xml"/><Relationship Id="rId9" Type="http://schemas.openxmlformats.org/officeDocument/2006/relationships/hyperlink" Target="https://www.youtube.com/watch?v=r8A0PMli7iA&amp;t=1724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775A1D-135D-4A90-A688-6DB377BED6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1061</Words>
  <Characters>6049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Sanda Kaša</dc:creator>
  <cp:lastModifiedBy>Sanda Kaša</cp:lastModifiedBy>
  <cp:revision>2</cp:revision>
  <dcterms:created xsi:type="dcterms:W3CDTF">2021-11-25T08:35:00Z</dcterms:created>
  <dcterms:modified xsi:type="dcterms:W3CDTF">2021-11-25T08:35:00Z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2021-06-07T00:00:00Z</vt:filetime>
  </property>
  <property fmtid="{D5CDD505-2E9C-101B-9397-08002B2CF9AE}" pid="3" name="Creator">
    <vt:lpwstr>Microsoft® Word 2013</vt:lpwstr>
  </property>
  <property fmtid="{D5CDD505-2E9C-101B-9397-08002B2CF9AE}" pid="4" name="LastSaved">
    <vt:filetime>2021-08-06T00:00:00Z</vt:filetime>
  </property>
</Properties>
</file>