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1. Tiesību akta projekta izstrādes nepieciešamība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Anotācijas (ex-ante)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akta projekta "Grozījumi Ministru kabineta 2017. gada 6. jūnija noteikumos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 sākotnējās ietekmes (ex-ante) novērtējuma ziņojums (anotācija)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1.1. Pamatojums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Izstrādes pamatojums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Tiesību akts / Ministru Prezidenta rezolūcija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Eiropas Savienības struktūrfondu un Kohēzijas fonda 2014. – 2020. gada plānošanas perioda vadības likuma 20. panta 13. punkts, kas paredz Ministru kabineta kompetenci Eiropas Savienības fondu vadības nodrošināšanā, dodot deleģējumu Ministru kabinetam noteikt specifiskā atbalsta mērķa pieejamo finansējumu, atbalstāmo darbību, izmaksu attiecināmības nosacījumus un kārtību;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Ministru kabineta 2021. gada 8. jūnija rīkojums Nr. 406 "Grozījumi Eiropas Savienības struktūrfondu un Kohēzijas fonda 2014.-2020. gada plānošanas perioda darbības programmā "Izaugsme un nodarbinātība"", kas paredz grozījumus jaunus REACT-EU specifiskos atbalsta mērķus, finansējumu un rādītājus.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Ministru kabineta 2021.gada 8.jūnija sēdes protokola (Nr.46, 32.§) 4.1.2.apakšpunkts atļauj uzņemties saistības Izglītības un zinātnes ministrijai 13.1.2. specifiskā atbalsta mērķa “Atveseļošanas pasākumi izglītības un pētniecības nozarē (ERAF)” (turpmāk – 13.1.2. SAM) ietvaros par REACT-EU finansējumu.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Ministru kabineta 2020. gada 30. jūnija noteikumu Nr. 408 “Latvijas Zinātnes padomes nolikums” 22.punkts nosaka, ka Latvijas Zinātnes padome sākot ar 2022. gada 1. janvāri nodrošinās projekta Nr. 1.1.1.2/16/I/001 "Atbalsts pēcdoktorantūras pētniecības īstenošanai" vadību un īstenošanu.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1.2. Mērķis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Mērķa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Precizēt 1.1.1.1. pasākuma MK noteikumu Nr. 34 nosaukumu, publiskā finansējuma REACT-EU sadalījumu pa projektu iesniegumu atlases kārtām, papildināt ar uzraudzības rādītājiem un ar projektu iesniegumu atlases kārtību piektajai projektu iesniegumu atlases kārtai, veikt ERAF finansējuma pārdali uz 1.1.1.3. pasākumu;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palielināt 1.1.1.3. pasākuma finansējumu, precizēt projekta īstenošanas termiņu;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 samazināt 1.1.1.2. pasākuma finansējumu, precizēt projekta īstenotāju.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4. samazināt 1.1.1.5. pasākuma finansējumu.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Spēkā stāšanās termiņš</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Vispārējā kārtība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1.3. Pašreizējā situācija, 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Pašreizējā situācija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A. 1.1.1.1. pasākums "Praktiskas ievirzes pētījumi".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2016. gada 12. janvāra noteikumu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noteikumos" (turpmāk – MK noteikumi Nr. 34) 11. punktā noteikts, ka darbības programmas "Izaugsme un nodarbinātība" 1.1.1. specifiskā atbalsta mērķa "Palielināt Latvijas zinātnisko institūciju pētniecisko un inovatīvo kapacitāti un spēju piesaistīt ārējo finansējumu, ieguldot cilvēkresursos un infrastruktūrā" 1.1.1.1. pasākumam "Praktiskas ievirzes pētījumi" (turpmāk – 1.1.1.1. pasākums) plānotais kopējais attiecināmais publiskais finansējums ir 112 803 734 euro, ko veido  Eiropas Reģionālās attīstības fonda (turpmāk – ERAF) finansējums 97 236 954 euro apmērā un nacionālais publiskais valsts budžeta līdzfinansējums 15 566 780 euro apmērā. MK noteikumos Nr. 34 nav nodalīta Atveseļošanas palīdzības kohēzijai un Eiropas teritorijām (turpmāk – REACT-EU) finansējuma daļa.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Atbilstoši Ministru kabineta 2020. gada 11. augusta "Informatīvais ziņojuma "Par virssaistību izmantošanu Covid-19 seku mīkstināšanas pasākumiem ES fondu darbības programmas "Izaugsme un nodarbinātība" ieviešanā"" protokola (Nr.47, 84.§) 2.1. apakšpunktam tika paredzēts 11 miljonu euro  finansējums 1.1.1.1. pasākuma īstenošanai, attiecīgi tika veikti grozījumi MK noteikumos Nr. 34. Savukārt 2021. gada 8. jūnijā Ministru kabinets apstiprināja grozījumus Eiropas Savienības struktūrfondu un Kohēzijas fonda 2014.-2020. gada plānošanas perioda darbības programmā "Izaugsme un nodarbinātība", jo Eiropas Savienības tiesību akti par Eiropas Savienības fondiem atļāva dalībvalstīm REACT-EU resursus piešķirt vienam vai vairākiem atsevišķiem prioritārajiem virzieniem spēkā esošā darbības programmā vai programmās.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B. 1.1.1.3. pasākums "Inovāciju granti studentiem".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 Finansējuma pārdale. 2021. gada 12. janvārī tika izsludināta 1.1.1. specifiskā atbalsta mērķa "Palielināt Latvijas zinātnisko institūciju pētniecisko un inovatīvo kapacitāti un spēju piesaistīt ārējo finansējumu, ieguldot cilvēkresursos un infrastruktūrā" 1.1.1.3. pasākuma "Inovāciju granti studentiem" (turpmāk – 1.1.1.3. pasākums) projektu iesniegumu otrā atlases kārta, kuras ietvaros tika iesniegti deviņi projektu iesniegumi par kopējo ERAF finansējumu 6 950 938 euro un atbilstoši Eiropas Komisijas ekspertu datubāzē iekļautu ārvalstu ekspertu novērtējumiem visi projektu iesniegumi kvalitātes kritērijos kvalificējas atbalsta saņemšanai. 1.1.1.3. pasākuma otrajai projektu iesniegumu atlases kārtai pieejamais ERAF finansējums ir 4 540 684 euro, kas ir pietiekams piecu projektu finansēšanai par pieprasīto ERAF finansējumu 3 944 086 euro apmērā. Pārējie četri projekti par kopējo pieprasīto ERAF finansējumu 3 006 852 euro apmērā tika noraidīti nepietiekama finansējuma dēļ.</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2. Projektu īstenošanas ilgums. Ministru kabineta 2018. gada 16. janvāra noteikumu Nr. 41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īstenošanas noteikumi” (turpmāk – MK noteikumi Nr. 41) 39. punktā ir noteikts projekta īstenošanas termiņš līdz trim gadiem no dienas, kad projekta iesniedzējs noslēdzis vienošanos vai līgumu par projekta īstenošanu ar sadarbības iestādi, bet ne ilgāk kā līdz 2023. gada 30. novembrim.</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C. 1.1.1.5. pasākums "Atbalsts starptautiskās sadarbības projektiem pētniecībā un inovācijās".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2017. gada 6. jūnija noteikumu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 (turpmāk – MK noteikumi Nr. 315) 57. punktā noteikts, ka trešajai kārtai pieejamais kopējais publiskais attiecināmais finansējums ir 10 678 517 euro, ko veido ERAF finansējums 9 076 739 euro apmērā un valsts budžeta līdzfinansējums 1 601 778 euro apmērā. Ņemot vērā, ka trešās projektu iesniegumu atlases kārtas ietvaros nav paredzēts finansēt jaunus projektu iesniegumus, ir izveidojies finansējuma atlikums, tai skaitā finansējuma atlikums, kas netika piesaistīts projekta līgumos.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315 40.16. apakšpunktā noteikts, ka Rīgas Tehniskās universitātes otrās projektu iesniegumu atlases kārtas ietvaros īstenotā projekta finansējums ir 4 857 300 euro (tai skaitā ERAF – 4 128 705 euro un valsts budžets – 71 010 euro), no kuriem 2 500 000 euro ir paredzēti Latvijas augstskolu un zinātnisko institūciju akadēmiskā un zinātniskā personāla starptautiskām mācībām augsta līmeņa digitālo prasmju apguvei un zināšanu pārnesei. No 2019. gada augsta līmeņa digitālās prasmes Ņujorkas štata Bufalo universitātē apguvuši 14 Latvijas augstākās izglītības institūciju pasniedzēji (par valsts budžeta līdzekļiem) un šobrīd uz mācībām devušies vēl 22 akadēmiskā sektora profesionāļi (ES struktūrfondu finansējums), kā arī 22 personas dosies uz mācībām 2022. gada sākumā (ES struktūrfondu finansējums). Šobrīd ir plānots turpināt akadēmiskā sektora profesionāļu augsta līmeņa digitālo prasmju mācības Ņujorkas štata Bufalo Universitātē, taču Rīgas Tehniskās universitātes otrās projektu iesniegumu atlases kārtas projekta ietvaros nav pieejams finansējums minēto mācību nodrošināšanai.</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D. 1.1.1.2. pasākums "Pēcdoktorantūras pētniecības atbalsts".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2016. gada 19. janvāra noteikumu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(turpmāk – MK noteikumi Nr. 50) 9. punktā noteikts, ka 1.1.1.2. pasākumam "Pēcdoktorantūras pētniecības atbalsts" (turpmāk – 1.1.1.2. pasākums) pieejamais kopējais attiecināmais finansējums ir 47 910 415 euro, tai skaitā ERAF finansējums – 40 399 189 euro un valsts budžeta līdzfinansējums – 4 754 147 euro, tai skaitā pētniecības pieteikumu īstenošanai plānotais kopējais attiecināmais finansējums ir 44 925 282 euro, tai skaitā ERAF finansējums – 37 861 826 euro un valsts budžeta līdzfinansējums – 4 306 377 euro. Savukārt MK noteikumu Nr. 50 12. punkts paredz, ka projekta iesniedzējs 1.1.1.2. pasākuma ietvaros ir Valsts izglītības attīstības aģentūra, kas pēc tam, kad ir noslēgta vienošanās par projekta īstenošanu, ir arī ERAF finansējuma saņēmēja.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un risinājumi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1.1.1.1. pasākums.</w:t>
      </w:r>
      <w:r w:rsidR="00000000" w:rsidRPr="00000000" w:rsidDel="00000000">
        <w:rPr>
          <w:rtl w:val="0"/>
        </w:rPr>
        <w:t xml:space="preserve"> Grozījumi darbības programmā "Izaugsme un nodarbinātība” par REACT-EU finansējumu paredz jaunu ieguldījumu prioritāti un specifisko atbalsta mērķi 13.1.2. SAM, kura ietvaros ir paredzēts finansējums 11 000 000 euro apmērā no REACT-EU resursiem, kas ir kā papildinājums 1.1.1.1. pasākumam. Šobrīd REACT-EU finansējums nav izdalīts MK noteikumos Nr. 34, līdz ar to resursi nav administratīvi nodalīti. Tāpat MK noteikumu Nr. 34 nosaukums attiecas uz 1.1.1.1. pasākumu, tomēr tā kā specifiskā atbalsta mērķis 13.1.2. SAM ietver finansējumu, kas ir kā papildinājums spēkā esošam prioritārajam virzienam un paredz finansējumu 1.1.1.1. pasākumam, tad ir nepieciešams precizēt MK noteikumu Nr. 34 nosaukumu, papildinot to ar 13.1.2.1. pasākumu "Praktiskas ievirzes pētījumi".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Tāpat 1.1.1.1. pasākumā šobrīd ir veidojies neizmantotais finansējuma atlikums, ko būtu lietderīgi pārdalīt citu pasākumu aktivitāšu īstenošanai.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Ministru kabineta 2021. gada 8. jūnija rīkojums Nr. 406  un Ministru kabineta 2021. gada 8. jūnija sēdes protokola (Nr.46, 32.§) 4.1.2. apakšpunkts paredz REACT-EU finansējumu 13.1.2. SAM ietvaros, attiecīgi MK noteikumu Nr. 34 grozījumu projekts paredz precizēt MK noteikumu Nr. 34 nosaukumu, publiskā finansējuma REACT-EU sadalījumu pa projektu iesniegumu atlases kārtām, kā arī papildināt MK noteikumus Nr. 34 ar uzraudzības rādītājiem un ar projektu iesniegumu atlases kārtību piektajai projektu iesniegumu atlases kārtai.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Tāpat plānots pārdalīt neizmantoto finansējumu 1.1.1.3. pasākuma otrās atlases kārtas projektu finansēšanai.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1.1.1.3. pasākums. </w:t>
      </w:r>
      <w:r w:rsidR="00000000" w:rsidRPr="00000000" w:rsidDel="00000000">
        <w:rPr>
          <w:b w:val="1"/>
          <w:rtl w:val="0"/>
        </w:rPr>
        <w:t xml:space="preserve">1. Finansējuma trūkums.</w:t>
      </w:r>
      <w:r w:rsidR="00000000" w:rsidRPr="00000000" w:rsidDel="00000000">
        <w:rPr>
          <w:rtl w:val="0"/>
        </w:rPr>
        <w:t xml:space="preserve"> Ņemot vērā Zinātnes, tehnoloģijas attīstības un inovācijas pamatnostādnēs 2021.-2027. gadam noteiktās prioritātes attiecībā uz P&amp;A cilvēkkapitāla attīstību, kā arī to, ka visi projektu iesniegumi ir sasnieguši kvalitātes slieksni un arī 2021.-2027. gada plānošanas periodā plānots turpināt īstenot 1.1.1.3. pasākuma iniciatīvu, šobrīd būtu nepieciešams sniegt atbalstu pēc iespējas vairāk 1.1.1.3. pasākuma otrajā projektu iesniegumu atlases kārtā iesniegto projektu iesniegumu īstenošanai, lai pēc iespējas plašāk veicinātu studentu inovācijas, uzņēmējspēju un tehnoloģiju prasmju pilnveidi kopsadarbībā ar industriju, fokusējoties uz zināšanu ietilpīgu produktu un pakalpojumu izstrādi, kā arī lai pēc iespējas vairāk atbalsta saņēmēju gūtu pieredzi studentu inovāciju grantu programmas īstenošanā, kas veicinātu kvalitatīvāku studentu inovāciju grantu programmas projektu īstenošanu 2021.-2027. gada plānošanas periodā. Pēc piecu projekta iesniegumu finansēšanas 1.1.1.3. pasākumā ERAF atlikums ir 596 598 euro un pārējo četru projekta iesniegumu finansēšanai nepieciešams papildus ERAF finansējums 2 410 254  euro apmēra.</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2. Projektu īstenošanas ilgums.</w:t>
      </w:r>
      <w:r w:rsidR="00000000" w:rsidRPr="00000000" w:rsidDel="00000000">
        <w:rPr>
          <w:rtl w:val="0"/>
        </w:rPr>
        <w:t xml:space="preserve"> Ņemot vērā, ka 1.1.1.3. pasākumam MK noteikumu Nr. 41 39.punktā ir noteikts projekta īstenošanas termiņš līdz trim gadiem no dienas, kad projekta iesniedzējs noslēdzis vienošanos vai līgumu par projekta īstenošanu ar sadarbības iestādi, taču pirmās projektu iesniegumu atlases kārtas projektu finansējuma izlietošanas temps ir lēnāks kā sākotnēji tika prognozēts (tai skaitā dēļ COVID-19 pandēmijas izraisītās situācijas), pastāv risks, ka projekti var tikt ieviesti sasteigti, kas savukārt var ietekmēt projektu kvalitāti.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1. Finansējuma pārdale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Pēc piecu projekta iesniegumu finansēšanas 1.1.1.3. pasākumā ERAF atlikums ir 596 598 euro un pārējo četru projekta iesniegumu finansēšanai nepieciešams papildus ERAF finansējums 2 410 254  euro apmēra. Papildus finanšu resursi ir pieejami no 1.1.1. specifiskā atbalsta mērķa “Palielināt Latvijas zinātnisko institūciju pētniecisko un inovatīvo kapacitāti un spēju piesaistīt ārējo finansējumu, ieguldot cilvēkresursos un infrastruktūrā” (turpmāk – 1.1.1. SAM) pasākumu līgumos par projekta īstenošanu nepiesaistītā finansējuma atlikuma. Taču, ņemot vērā ierobežoto papildus pieejamo finansējumu, Ministru kabineta noteikumu projekts „Grozījumi Ministru kabineta 2018. gada 16. janvāra noteikumos Nr. 41 „Darbības programmas „Izaugsme un nodarbinātība” 1.1.1. specifiskā atbalsta mērķa „Palielināt Latvijas zinātnisko institūciju pētniecisko un inovatīvo kapacitāti un spēju piesaistīt ārējo finansējumu, ieguldot cilvēkresursos un infrastruktūrā” 1.1.1.3. pasākuma „Inovāciju granti studentiem” īstenošanas noteikumi”” (turpmāk – MK noteikumu Nr. 41 grozījumu projekts) paredz palielināt 1.1.1.3. pasākumam pieejamo finansējumu divu otrās projektu iesniegumu atlases kārtas rezervē esošo projektu iesniegumu finansēšanai, veicot ERAF līdzekļu pārdali 1 201 044 euro apmērā (tai skaitā 856 860 855 662 euro no 1.1.1.1. pasākuma un 344 184 345 382 euro no 1.1.1.2. pasākuma).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Pārdale tiek veikta no finansējuma atlikuma, kas iepriekš netika piesaistīts līgumos par projektu īstenošanu (skat. Pielikuma tabulu Nr.2. – treknrakstā iezīmētās summas). Pārdales summu aprēķinam skat. 1. pielikuma 1.tabulu.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Noteikumu projektā plānotām finansējuma pārdalēm nav ietekmes uz intervences kodiem, jo 1.1.1.3. pasākuma finansējums, 1.1.1.2. pasākuma un 1.1.1.5. pasākuma finansējums attiecas uz intervences jomu - 060 “Pētniecības un inovācijas darbības publiskos pētniecības centros un kompetences centros, kas ietver sadarbības tīklu veidošanu”.</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2. Projektu īstenošanas ilgums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to, ka projekti tiek ieviesti kvalitatīvi nevis sasteigti, MK noteikumu Nr. 41 grozījumu projekts paredz svītrot 3 gadu projekta īstenošanas ilguma ierobežojumu, vienlaicīgi saglabājot projekta īstenošanas maksimālo termiņu – 2023. gada 30. novembris.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Lai nodrošinātu dubultā finansējuma riska novēršanu, 1.1.1.3. pasākuma otrās projektu iesniegumu atlases kārtas projekta iesnieguma vērtēšanas kritērija Nr. 2.6. ietvaros vērtēja projekta ietvaros plānoto atbalstāmo darbību sinerģiju un demarkāciju arī ar 1.1.1.3. pasākuma pirmās projektu iesniegumu atlases kārtas projektu darbībām, tai skaitā nosakot projekta iesniedzējiem sniegt skaidrojumu, kā tiks nodrošināta izmaksu nepārklāšanās ar pirmās projektu iesniegumu atlases kārtas projekta darbību izmaksām. Līdz ar to projekta īstenošanas termiņa  pagarināšana (3 gadu ierobežojuma atcelšana) neietekmēs to projektu darbību un izmaksu pārklāšanos, kuru finansējuma saņēmējs īsteno gan pirmajā, gan otrajā projektu iesniegumu atlases kārtā.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Pagarinot 1.1.1.3. pasākuma pirmās projektu iesniegumu atlases kārtas projektu īstenošanas termiņu, katrs līguma par projekta īstenošanu grozījumu gadījums tiks izvērtēts individuāli atbilstoši finansējuma saņēmēja sniegtajam pamatojumam, finansējuma saņēmējam un Centrālajai finanšu un līgumu aģentūrai vienojoties par katrai situācijai atbilstošu risinājumu. </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1.1.1.5. pasākums. </w:t>
      </w:r>
      <w:r w:rsidR="00000000" w:rsidRPr="00000000" w:rsidDel="00000000">
        <w:rPr>
          <w:rtl w:val="0"/>
        </w:rPr>
        <w:t xml:space="preserve">Digitālās ekonomikas un sabiedrības indeksa (DESI) 2021.gadā mērījumā Latvija ierindojas aiz ES vidējā rādītāja, tai skaitā ievērojami atpaliekot no Igaunijas un Lietuvas. Lai gan atsevišķās DESI indeksa dimensijās Latvija uzrāda vidēji labus rezultātus, tā joprojām atpaliek cilvēkkapitāla un digitālo tehnoloģiju integrācijas dimensijās. Tas liecina pa nepieciešamību turpināt speciālistu sagatavošanu ar augsta līmeņa digitālām prasmēm, kas iegūtās zināšanas izplata gan mācību veidā, gan integrējot digitālo saturu plaša spektra studiju saturā un zinātniskajās metodēs. Līdzšinējās  augstskolu un zinātnisko institūciju personāla augsta līmeņa digitālo prasmju mācības Ņujorkas štata Bufalo Universitātē ir nesušas pozitīvus rezultātus, kā arī šādu speciālistu loku ir nepieciešamas paplašināt, lai nodrošinātu digitālo transformāciju augstākajā izglītībā. Līdz ar to tiek plānots turpināt akadēmiskā sektora profesionāļu augsta līmeņa digitālo prasmju mācības Ņujorkas štata Bufalo Universitātē, taču Rīgas Tehniskās universitātes 1.1.1.5. pasākuma otrās projektu iesniegumu atlases kārtas ietvaros īstenota projekta ietvaros nav pieejami līdzekļi mācību turpināšanas finansējuma nodrošināšanai.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Grozījumi MK noteikumos Nr. 315 izstrādāti, lai nodrošinātu iespējami ātrāku 1.1.1.5. pasākuma trešās projektu iesniegumu atlases kārtas finansējuma atlikuma (ERAF 215 268 euro, VB 9 536 euro), kā arī 1.1.1.2. pasākuma finansējuma atlikuma daļas (ERAF 172 799 euro, VB 58 946 euro) pārdali uz 1.1.1.5. pasākuma otro projektu iesniegumu atlases kārtu.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315 grozījumu projektā paredzētajām iekšējām un ārējām finansējuma pārdalēm nav negatīvas ietekmes uz spēkā esošajiem uzraudzības rādītājiem. Plānojot 1.1.1.2. pasākuma un 1.1.1.5. pasākuma trešās atlases kārtas finansējuma samazinājumu, tika saglabāts nepieciešamais finansējuma apmērs, lai nodrošinātu plānoto uzraudzības rādītāju izpildi.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Problēmas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1.1.1.2. pasākums. </w:t>
      </w:r>
      <w:r w:rsidR="00000000" w:rsidRPr="00000000" w:rsidDel="00000000">
        <w:rPr>
          <w:b w:val="1"/>
          <w:rtl w:val="0"/>
        </w:rPr>
        <w:t xml:space="preserve">Finansējuma pārdale</w:t>
      </w:r>
      <w:r w:rsidR="00000000" w:rsidRPr="00000000" w:rsidDel="00000000">
        <w:rPr>
          <w:rtl w:val="0"/>
        </w:rPr>
        <w:t xml:space="preserve">. Ņemot vērā, ka 1.1.1.2. pasākuma projekta ietvaros nav paredzēts finansēt jaunus pētniecības pieteikumus, ir izveidojies finansējuma atlikums, tai skaitā finansējuma atlikums, kas netika piesaistīts līgumos par pētniecības pieteikumu īstenošanu 575 929 euro apmēra (t.sk. ERAF 516 983 euro un VB 58 946 euro).</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Projekta īstenotāja aizvietošana. </w:t>
      </w:r>
      <w:r w:rsidR="00000000" w:rsidRPr="00000000" w:rsidDel="00000000">
        <w:rPr>
          <w:rtl w:val="0"/>
        </w:rPr>
        <w:t xml:space="preserve">Ņemot vērā Ministru kabineta 2020. gada 30. jūnija noteikumu Nr. 408 “Latvijas Zinātnes padomes nolikums” 22. punktā noteikto, Latvijas Zinātnes padome sākot ar 2022. gada 1. janvāri daļēji pārņems Valsts izglītības attīstības aģentūras funkciju un nodrošinās projekta Nr. 1.1.1.2/16/I/001 "Atbalsts pēcdoktorantūras pētniecības īstenošanai" vadību un īstenošanu. Līdz ar to MK noteikumos Nr. 50 ir nepieciešams precizēt projekta īstenotāju.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Risinājuma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Finansējuma pārdale. </w:t>
      </w:r>
      <w:r w:rsidR="00000000" w:rsidRPr="00000000" w:rsidDel="00000000">
        <w:rPr>
          <w:rtl w:val="0"/>
        </w:rPr>
        <w:t xml:space="preserve">Grozījumi MK noteikumos Nr. 50 izstrādāti, lai nodrošinātu iespējami ātrāku 1.1.1.2. pasākuma projekta finansējuma atlikuma pārdali uz 1.1.1.5. pasākuma otro projektu iesniegumu atlases kārtu un uz 1.1.1.3. pasākuma otro projektu iesniegumu atlases kārtu.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50 grozījumu projektā plānotām finansējuma pārdalēm nav negatīvas ietekmes uz spēkā esošajiem uzraudzības rādītājiem. Plānojot 1.1.1.2. pasākuma finansējuma samazinājumu, tika saglabāts nepieciešamais finansējuma apmērs, lai nodrošinātu plānoto uzraudzības rādītāju izpildi.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50 grozījumu projektā plānotām finansējuma pārdalēm nav ietekmes uz intervences kodiem, jo 1.1.1.2. pasākuma finansējums, 1.1.1.5. pasākuma, kā arī 1.1.1.3.pasākuma finansējums attiecas uz intervences jomu - 060 “Pētniecības un inovācijas darbības publiskos pētniecības centros un kompetences centros, kas ietver sadarbības tīklu veidošanu”.</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b w:val="1"/>
          <w:rtl w:val="0"/>
        </w:rPr>
        <w:t xml:space="preserve">Projekta īstenotāja aizvietošana. </w:t>
      </w:r>
      <w:r w:rsidR="00000000" w:rsidRPr="00000000" w:rsidDel="00000000">
        <w:rPr>
          <w:rtl w:val="0"/>
        </w:rPr>
        <w:t xml:space="preserve">MK noteikumu Nr. 50 grozījumu projekts paredz aizstāt tekstā vārdus "Valsts izglītības attīstības aģentūra" (attiecīgā locījumā) ar vārdiem "Latvijas Zinātnes padome" (attiecīgā locījumā). Paredzēts, ka attiecīgie grozījumi stāsies spēkā 2022. gada 1. janvārī.</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izvērtēti alternatīvie risinājumi?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Kā alternatīvs risinājums ir neveikt MK noteikumu grozījumus, kā rezultātā veidotos finanšu līdzekļu atlikumi 1.1.1.1. pasākumā, 1.1.1.2. pasākumā, 1.1.1.3. pasākumā un 1.1.1.5. pasākumā, kas rezultētos ar to, ka mazākam augstskolu skaitam tiktu sniegta iespēja gūtu pieredzi studentu inovāciju grantu programmas īstenošanā, kā arī tiktu sagatavoti mazāk speciālistu ar augsta līmeņa digitālām prasmēm.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izvērtēts prasību un izmaksu samērīgums pret ieguvumiem?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1.4. Izvērtējumi/pētījumi, kas pamato TA nepieciešamību</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1.5. Pēcpārbaudes (ex-post) izvērtējums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tiks veikts?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1.6.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2. Tiesību akta projekta ietekmējamās sabiedrības grupas, ietekme uz tautsaimniecības attīstību un administratīvo slogu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2.1. Sabiedrības grupas, kuras tiesiskais regulējums ietekmē, vai varētu ietekmēt</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Fiziskās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studenti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skolēni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akadēmiskais personāls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zinātniskais personāls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sabiedrība kopumā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34 grozījumu projekts netiešā veidā ietekmēs fiziskās personas, jo REACT-EU finansējums paredzēts praktisko pētījumu projektiem, kas vērsti uz Covid-19 infekcijas slimības izplatības ierobežošanu un iedzīvotāju aizsardzību, projekta rezultāti dos labvēlīgu ietekmi iedzīvotāju aizsardzībā, sabiedrības veselībā.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41 grozījumu projekts ietekmēs studentu un skolēnu inovācijas spēju, uzņēmīgumu un uzņēmējspēju attīstību, augstākās izglītības iestāžu akadēmiskā personāla inovācijas kompetenču attīstību (t.sk. darbu vadīšanas prasmes un pieredze metodoloģisku inovatīvu apmācību īstenošanā), sabiedrību kā informācijas sistēmu publiski pieejamās informācijas lietotājus.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315 grozījumu projekts ietekmēs augstskolu un zinātnisko institūciju personāla augsta līmeņa digitālo prasmju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Juridiskās personas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visi uzņēmumi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augstākās izglītības iestādes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Centrālā finanšu un līgumu aģentūra kā sadarbības iestāde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34 grozījumu projekta ietvaros REACT-EU finansējums dod iespēju zinātniskām institūcijām un maziem, vidējiem vai lieliem saimnieciskās darbības veicējiem iesaistīsies kopīgos pētījumos, kas vērsti uz Covid-19 pandēmijas seku pārvarēšanu, Covid-19 infekcijas slimības izplatības ierobežošanu un iedzīvotāju aizsardzību.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Centrālā finanšu un līgumu aģentūra kā sadarbības iestāde tiks ietekmēta, jo projekti, kuru finansējums ir no REACT-EU resursiem, ir jāadministrē atbilstoši ES tiesību aktiem un noteiktā kārtībā.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 41 grozījumu projekts ietekmē augstākās izglītības iestādes iestāžu inovācijas vides attīstību, mazo, vidējo vai lielo saimnieciskās darbības veicēju sadarbības veidošanos ar augstākās izglītības iestādēm  un studentiem, kā arī potenciālo darbinieku kompetenču attīstību.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MK noteikumu Nr.41 grozījumu projekts ietekmē augstskolu un zinātnisko institūciju personāla kompetenču attīstību kvalitatīvāka darba nodrošināšanai iestādēs.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Nozare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Visas nozares, Izglītība, Veselība un sociālā aprūpe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Nozaru 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Izglītība: 1.1.1.1.pasākums – REACT-EU finansējums praktisko pētījumu projektiem, kas vērsti uz Covid-19 infekcijas ierobežošanu un iedzīvotāju aizsardzību, piemēram, projektiem, kas vērsti uz inženiertehniskiem risinājumiem, tai skaitā risinājumi cilvēka drošības palielināšanai, informācijas un komunikācijas tehnoloģiju izmantošanai izglītības procesā.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1.1.1.3.pasākums – finansējums studentu inovāciju spēju attīstībai.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1.1.1.5.pasākums – finansējums augstskolu un zinātnisko institūciju personāla augsta līmeņa digitālo prasmju attīstībai.</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Veselība: REACT-EU finansējums praktisko pētījumu projektiem, kas vērsti uz Covid-19 infekcijas slimības izplatības ierobežošanu un iedzīvotāju aizsardzību, piemēram, jaunām metodēm Covid-19 ārstēšanai un diagnostikai, jauniem ārstniecības līdzekļiem, to faktoru izpētei, kas nosaka un ietekmē uzņēmību pret infekciju un slimības uzliesmojumus, slimības diagnostiku, norisi un terapiju., kā arī inženiertehniskiem risinājumiem, tai skaitā risinājumiem cilvēka drošības palielināšanai, infekcijas slimības ātrai noteikšanai, individuālo aizsardzības līdzekļu izstrādei, testēšanai un sertificēšanai.</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Visas nozares: 1.1.1.3. pasākuma ietvaros tiek finansētas Latvijas augstākās izglītības institūciju Studentu inovāciju programmas, kas sniedz ieguldījumu Latvijas Viedās specializācijas stratēģijas mērķu sasniegšanā un izaugsmes prioritāšu īstenošanā, jo īpaši STEM, medicīnas un radošo industriju jomās, tostarp sniedzot ieguldījumu cilvēkkapitāla pieauguma nodrošināšanā.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 Tiesiskā regulējuma ietekme uz tautsaimniecību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2.2.1. uz makroekonomisko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2.2.2. uz nozaru konkurētspēju: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2.2.3. uz uzņēmējdarbības vidi: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Netieši: 1.1.1.3. pasākums - attīsta studējošo inovāciju spējas, lai paaugstinātu darbaspēka kvalitāti un veicinātu jauno uzņēmēju attīstību. Tiek attīstīta uzņēmēju un augstskolu/studentu sadarbība.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2.2.4. uz mazajiem un vidējiem uzņēmējiem:</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2.2.5. uz konkurenci:</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2.2.6. uz nodarbinātību: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Ietekmes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Netieši: 1.1.1.3. pasākums - attīsta studējošo inovāciju spējas, lai paaugstinātu darbaspēka kvalitāti un veicinātu jauno uzņēmēju attīstību. Tiek attīstīta uzņēmēju un augstskolu/studentu sadarbība.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1.1.1.5.pasākums – paaugstina augstskolu un zinātnisko institūciju personāla kvalitāti un spēju efektīgāk apmācīt studentus - potenciālo darbaspēku.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 </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2.3.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2.4.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3. Tiesību akta projekta ietekme uz valsts budžetu un pašvaldību budžetiem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Ietekmi uz valsts budžetu nerada tiesību aktu grozījumi, jo finansējums tiek pārdalīts 1.1.1. SAM  ietvaros un pārdalēm tiek izmantots tikai brīvais finansējums.</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Noteikumu projekts paredz šādas izmaiņas: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Tiek samazināts 1.1.1.1. pasākuma ERAF finansējums par 856 860 855 662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Tiek samazināts 1.1.1.2. pasākuma ERAF finansējums par 516 983 EUR un VB finansējums par 58 946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Tiek palielināts 1.1.1.3. pasākuma ERAF finansējums par 1 201 044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Tiek palielināts 1.1.1.5. pasākuma ERAF finansējums par 172 799 198 268 EUR un VB finansējumu 58 946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1.1.1.5. pasākuma iekšējā pārdale:</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Tiek samazināts 1.1.1.5. pasākuma 3.kārtas ERAF finansējums par 215 268 EUR, VB finansējums par 9 536 14 031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Tiek palielināts 1.1.1.5. pasākuma 2.kārtas ERAF finansējums par 215 268 EUR, VB finansējums par 9 536 14 031 EUR.</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Pārdales veiktas šādu 1.1.1. SAM  pasākumu starpā:</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ERAF:</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 1111 uz 1113</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 1112 uz 1113</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 1112 uz 1115</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 1115 3.k. uz 1115 2.k.</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VB:</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 1112 uz 1115</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No 1115 3.k. uz 1115 2.k.</w:t>
      </w:r>
    </w:p>
    <w:p w:rsidP="00000000" w:rsidRDefault="00000000" w:rsidR="00000000" w:rsidRPr="00000000" w:rsidDel="00000000">
      <w:pPr>
        <w:contextualSpacing w:val="0"/>
        <w:spacing w:lineRule="auto" w:line="240"/>
        <w:pBdr/>
      </w:pPr>
      <w:r w:rsidR="00000000" w:rsidRPr="00000000" w:rsidDel="00000000">
        <w:rPr>
          <w:rtl w:val="0"/>
        </w:rPr>
        <w:t xml:space="preserve"/>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Pārdaļu rezultātā kopējais finansējums 1.1.1 SAM līmenī nemainās, izmaiņas ir tikai starp pasākumiem (skat. pielikuma 3.tabulu).</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4. Tiesību akta projekta ietekme uz spēkā esošo tiesību normu sistēmu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 Saistītie tiesību aktu projekti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4.1.1. MK noteikumi Nr.41</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 un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Finansējuma pārdale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Atbildīgā institūcija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Izglītības un zinātnes ministrija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4.1.2. MK noteikumi Nr.315</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 un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Finansējuma pārdale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Atbildīgā institūcija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Izglītības un zinātnes ministrija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4.1.3. MK noteikumi Nr.34</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 un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Finansējuma pārdale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Atbildīgā institūcija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Izglītības un zinātnes ministrija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4.1.4. MK noteikumi Nr.50</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Pamatojums un 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Finansējuma pārdale</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Atbildīgā institūcija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Izglītības un zinātnes ministrija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4.2. 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5. Tiesību akta projekta atbilstība Latvijas Republikas starptautiskajām saistībām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5.1. Saistības pret Eiropas Savienību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attiecināms?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CELEX numurs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32020R2221</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ES tiesību akta datums, izdevējinstitūcija, numurs, veids un nosaukums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EIROPAS PARLAMENTA UN PADOMES REGULA (ES) 2020/2221 (2020. gada 23. decembris), ar ko Regulu (ES) Nr. 1303/2013 groza attiecībā uz papildu resursiem un īstenošanas kārtību, lai palīdzētu veicināt ar Covid-19 pandēmiju un tās sociālajām sekām saistītās krīzes seku pārvarēšanu un sagatavoties zaļai, digitālai un noturīgai ekonomikas atveseļošanai (REACT-EU)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Regula paredz noteikumus un īstenošanas kārtību attiecībā uz papildu resursiem, kas tiek sniegti kā Atveseļošanas palīdzība kohēzijai un Eiropas teritorijām (REACT-EU) nolūkā sniegt atbalstu, lai veicinātu krīzes seku pārvarēšanu Covid-19 pandēmijas un tās sociālo seku kontekstā un gatavotos zaļai, digitālai un noturīgai ekonomikas atveseļošanai.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5.2. Citas starptautiskās saistības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ir attiecināms?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5.3.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5.4. 1. tabula. Tiesību akta projekta atbilstība ES tiesību aktiem</w:t>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2410"/>
        <w:gridCol w:w="2410"/>
        <w:gridCol w:w="2410"/>
        <w:gridCol w:w="2410"/>
        <w:tblGridChange w:id="0">
          <w:tblGrid>
            <w:gridCol w:w="2410"/>
            <w:gridCol w:w="2410"/>
            <w:gridCol w:w="2410"/>
            <w:gridCol w:w="2410"/>
          </w:tblGrid>
        </w:tblGridChange>
      </w:tblGrid>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Attiecīgā ES tiesību akta datums, izdevējinstitūcija, numurs, veids un nosaukums</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EIROPAS PARLAMENTA UN PADOMES REGULA (ES) 2020/2221 (2020. gada 23. decembris), ar ko Regulu (ES) Nr. 1303/2013 groza attiecībā uz papildu resursiem un īstenošanas kārtību, lai palīdzētu veicināt ar Covid-19 pandēmiju un tās sociālajām sekām saistītās krīzes seku pārvarēšanu un sagatavoties zaļai, digitālai un noturīgai ekonomikas atveseļošanai (REACT-EU)</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ES TA panta numurs</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Projekta vienība, kas pārņem vai ievieš A minēto</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Tiek pārņemts pilnībā vai daļēji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Vai B minētais paredz stingrākas prasības un pamatojums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B</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C</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D</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Kā ir izmantota ES tiesību aktā paredzētā rīcības brīvība dalībvalstij pārņemt vai ieviest noteiktas ES tiesību akta normas? Kādēļ?</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SAM 1.1.1. noteikumu projekti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SAM 1.1.1. noteikumu projekti šo jomu neskar.</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Cita informācija</w:t>
            </w:r>
          </w:p>
        </w:tc>
        <w:tc>
          <w:tcPr>
            <w:shd w:fill="ffffff"/>
            <w:vAlign w:val="center"/>
            <w:noWrap w:val="true"/>
            <w:gridSpan w:val="3"/>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6. Projekta izstrādē iesaistītās institūcijas un sabiedrības līdzdalības process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Sabiedrības līdzdalība uz šo tiesību akta projektu neattiecas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Skaidrojums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Sabiedrības līdzdalība noteikumu projekta izstrādē tiks nodrošināta, ievietojot informāciju par noteikumu projektu IZM tīmekļvietnes www.izm.gov.lv sadaļā “Sabiedrības līdzdalība”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6.4.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7. Tiesību akta projekta izpildes nodrošināšana un tās ietekme uz institūcijām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7.1. Projekta izpildē iesaistītās institūcijas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Institūcijas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Izglītības un zinātnes ministrija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Centrālā finanšu un līgumu aģentūra</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7.2. Administratīvo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7.3. Atbilstības izmaksu monetārs novērtējums</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7.4. Projekta izpildes ietekme uz pārvaldes funkcijām un institucionālo struktūru</w:t>
      </w:r>
    </w:p>
    <w:tbl>
      <w:tblPr>
        <w:tblStyle w:val="DefaultTable"/>
        <w:bidiVisual w:val="0"/>
        <w:tblW w:w="9642.0" w:type="dxa"/>
        <w:tblInd w:w="0.0" w:type="dxa"/>
        <w:jc w:val="left"/>
        <w:tblBorders>
          <w:top w:color="auto" w:val="single" w:sz="5" w:space="0"/>
          <w:left w:color="auto" w:val="single" w:sz="5" w:space="0"/>
          <w:bottom w:color="auto" w:val="single" w:sz="5" w:space="0"/>
          <w:right w:color="auto" w:val="single" w:sz="5" w:space="0"/>
          <w:insideH w:color="auto" w:val="single" w:sz="5" w:space="0"/>
          <w:insideV w:color="auto" w:val="single" w:sz="5" w:space="0"/>
        </w:tblBorders>
        <w:tblLayout w:type="fixed"/>
        <w:tblLook w:val="0600"/>
      </w:tblPr>
      <w:tblGrid>
        <w:gridCol w:w="4371"/>
        <w:gridCol w:w="900"/>
        <w:gridCol w:w="4371"/>
        <w:tblGridChange w:id="0">
          <w:tblGrid>
            <w:gridCol w:w="4371"/>
            <w:gridCol w:w="900"/>
            <w:gridCol w:w="4371"/>
          </w:tblGrid>
        </w:tblGridChange>
      </w:tblGrid>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Ietekme</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Jā/Nē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b w:val="1"/>
                <w:rtl w:val="0"/>
              </w:rPr>
              <w:t xml:space="preserve">Skaidrojums</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1. Tiks veidota jauna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2. Tiks likvidēta institūcija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3. Tiks veikta esošās institūcijas reorganizācija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4. Institūcijas funkcijas un uzdevumi tiks mainīti (paplašināti vai sašaurināti)</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5. Tiks veikta iekšējo institūcijas procesu efektivizācija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6. Tiks veikta iekšējo institūcijas procesu digitalizācija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7. Tiks veikta iekšējo institūcijas procesu optimizācija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r>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8. Cita informācija</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sz w:val="24"/>
                <w:rtl w:val="0"/>
              </w:rPr>
              <w:t xml:space="preserve">Nē</w:t>
            </w:r>
          </w:p>
        </w:tc>
        <w:tc>
          <w:tcPr>
            <w:shd w:fill="ffffff"/>
            <w:vAlign w:val="center"/>
            <w:noWrap w:val="true"/>
            <w:tcMar>
              <w:top w:w="75.0" w:type="dxa"/>
              <w:left w:w="75.0" w:type="dxa"/>
              <w:bottom w:w="75.0" w:type="dxa"/>
              <w:right w:w="75.0" w:type="dxa"/>
            </w:tcMar>
          </w:tcPr>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sz w:val="24"/>
                <w:rtl w:val="0"/>
              </w:rPr>
              <w:t xml:space="preserve">-</w:t>
            </w:r>
          </w:p>
        </w:tc>
      </w:tr>
    </w:tbl>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7.5.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p w:rsidP="00000000" w:rsidRDefault="00000000" w:rsidR="00000000" w:rsidRPr="00000000" w:rsidDel="00000000">
      <w:pPr>
        <w:contextualSpacing w:val="0"/>
        <w:spacing w:before="180" w:beforeAutospacing="0"/>
        <w:spacing w:lineRule="auto" w:line="240"/>
        <w:pBdr/>
      </w:pPr>
      <w:r w:rsidR="00000000" w:rsidRPr="00000000" w:rsidDel="00000000">
        <w:rPr>
          <w:rtl w:val="0"/>
        </w:rPr>
        <w:t xml:space="preserve"/>
      </w:r>
      <w:r w:rsidR="00000000" w:rsidRPr="00000000" w:rsidDel="00000000">
        <w:rPr>
          <w:sz w:val="32"/>
          <w:b w:val="1"/>
          <w:rtl w:val="0"/>
        </w:rPr>
        <w:t xml:space="preserve">8. Horizontālās ietekmes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 Projekta tiesiskā regulējuma ietekme</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 uz publisku pakalpojumu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1.1.1.3.pasākuma projektu īstenošana veicinās augstskolu inovāciju vides attīstību, personāla inovāciju kompetenču attīstību, kā rezultātā uzlabosies personāla darba kvalitāte institūcijās, kas tai skaitā sniedz publiskos pakalpojumus;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1.1.1.5.pasākuma projekta īstenošana veicinās augstskolu un zinātnisko institūciju personāla augsta līmeņa digitālo prasmju attīstību, kā rezultātā uzlabosies personāla darba kvalitāte institūcijās, kas tai skaitā sniedz publiskos pakalpojumus.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8.1.2. uz valsts un pašvaldību informācijas un komunikācijas tehnoloģiju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8.1.3. uz informācijas sabiedrības politikas īstenošanu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8.1.4. uz Nacionālā attīstības plāna rādītājiem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Ietekme atbilstoši Ministru kabineta 2021. gada 8. jūnija rīkojumam Nr. 406 "Grozījumi Eiropas Savienības struktūrfondu un Kohēzijas fonda 2014.-2020. gada plānošanas perioda darbības programmā "Izaugsme un nodarbinātība"", kas paredz grozījumus jaunus REACT-EU specifiskos atbalsta mērķus, finansējumu un rādītājus.</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8.1.5. uz teritoriju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8.1.6. uz vidi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REACT-EU atbalsts, lai veicinātu krīzes seku pārvarēšanu Covid-19 pandēmijas un tās sociālo seku kontekstā un gatavotos zaļai, digitālai un noturīgai ekonomikas atveseļošanai.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8.1.7. uz klimatneitralitāti</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REACT-EU atbalsts, lai veicinātu krīzes seku pārvarēšanu Covid-19 pandēmijas un tās sociālo seku kontekstā un gatavotos zaļai, digitālai un noturīgai ekonomikas atveseļošanai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8.1.8. uz iedzīvotāju sociālo situāciju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8.1.9. uz personu ar invaliditāti vienlīdzīgām iespējām un tiesībām</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8.1.10. uz dzimumu līdztiesību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8.1.11. uz veselību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Jā</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Apraksts</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REACT-EU atbalsts, lai veicinātu krīzes seku pārvarēšanu Covid-19 pandēmijas un tās sociālo seku kontekstā un gatavotos zaļai, digitālai un noturīgai ekonomikas atveseļošanai</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8.1.12. uz cilvēktiesībām, demokrātiskām vērtībām un pilsoniskās sabiedrības attīstību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8.1.13. uz datu aizsardzību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8.1.14. uz diasporu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8.1.15. uz profesiju reglamentāciju</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Vai projekts skar šo jomu?</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Nē</w:t>
      </w:r>
    </w:p>
    <w:p w:rsidP="00000000" w:rsidRDefault="00000000" w:rsidR="00000000" w:rsidRPr="00000000" w:rsidDel="00000000">
      <w:pPr>
        <w:contextualSpacing w:val="0"/>
        <w:spacing w:before="270" w:beforeAutospacing="0"/>
        <w:spacing w:after="180" w:afterAutospacing="0"/>
        <w:spacing w:lineRule="auto" w:line="240"/>
        <w:pBdr/>
      </w:pPr>
      <w:r w:rsidR="00000000" w:rsidRPr="00000000" w:rsidDel="00000000">
        <w:rPr>
          <w:rtl w:val="0"/>
        </w:rPr>
        <w:t xml:space="preserve"/>
      </w:r>
      <w:r w:rsidR="00000000" w:rsidRPr="00000000" w:rsidDel="00000000">
        <w:rPr>
          <w:sz w:val="30"/>
          <w:b w:val="1"/>
          <w:rtl w:val="0"/>
        </w:rPr>
        <w:t xml:space="preserve">8.2. Cita informācija</w:t>
      </w:r>
    </w:p>
    <w:p w:rsidP="00000000" w:rsidRDefault="00000000" w:rsidR="00000000" w:rsidRPr="00000000" w:rsidDel="00000000">
      <w:pPr>
        <w:contextualSpacing w:val="0"/>
        <w:spacing w:before="90" w:beforeAutospacing="0"/>
        <w:spacing w:after="90" w:afterAutospacing="0"/>
        <w:spacing w:lineRule="auto" w:line="240"/>
        <w:pBdr/>
      </w:pPr>
      <w:r w:rsidR="00000000" w:rsidRPr="00000000" w:rsidDel="00000000">
        <w:rPr>
          <w:rtl w:val="0"/>
        </w:rPr>
        <w:t xml:space="preserve"/>
      </w:r>
      <w:r w:rsidR="00000000" w:rsidRPr="00000000" w:rsidDel="00000000">
        <w:rPr>
          <w:b w:val="1"/>
          <w:rtl w:val="0"/>
        </w:rPr>
        <w:t xml:space="preserve">Cita informācija</w:t>
      </w:r>
    </w:p>
    <w:p w:rsidP="00000000" w:rsidRDefault="00000000" w:rsidR="00000000" w:rsidRPr="00000000" w:rsidDel="00000000">
      <w:pPr>
        <w:contextualSpacing w:val="0"/>
        <w:spacing w:lineRule="auto" w:line="240"/>
        <w:pBdr/>
      </w:pPr>
      <w:r w:rsidR="00000000" w:rsidRPr="00000000" w:rsidDel="00000000">
        <w:rPr>
          <w:rtl w:val="0"/>
        </w:rPr>
        <w:t xml:space="preserve"/>
      </w:r>
      <w:r w:rsidR="00000000" w:rsidRPr="00000000" w:rsidDel="00000000">
        <w:rPr>
          <w:rtl w:val="0"/>
        </w:rPr>
        <w:t xml:space="preserve">-</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21-TA-1540</w:t>
    </w:r>
    <w:r>
      <w:br/>
    </w:r>
    <w:r w:rsidR="00000000" w:rsidRPr="00000000" w:rsidDel="00000000">
      <w:rPr>
        <w:rtl w:val="0"/>
      </w:rPr>
      <w:t xml:space="preserve">Izdrukāts 10.12.2021. 15.16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Anotācija (ex-ante) 21-TA-1540</w:t>
    </w:r>
    <w:r>
      <w:br/>
    </w:r>
    <w:r w:rsidR="00000000" w:rsidRPr="00000000" w:rsidDel="00000000">
      <w:rPr>
        <w:rtl w:val="0"/>
      </w:rPr>
      <w:t xml:space="preserve">Izdrukāts 10.12.2021. 15.16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anotācija_(ex_ante)_21-TA-1540.docx</dc:title>
</cp:coreProperties>
</file>

<file path=docProps/custom.xml><?xml version="1.0" encoding="utf-8"?>
<Properties xmlns="http://schemas.openxmlformats.org/officeDocument/2006/custom-properties" xmlns:vt="http://schemas.openxmlformats.org/officeDocument/2006/docPropsVTypes"/>
</file>