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Grozījumi Ministru kabineta 2016. gada 12. janvāra noteikumos Nr. 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w:t>
      </w:r>
    </w:p>
    <w:p w:rsidP="00000000" w:rsidRDefault="00000000" w:rsidR="00000000" w:rsidRPr="00000000" w:rsidDel="00000000">
      <w:pPr>
        <w:pStyle w:val="paragraph"/>
        <w:contextualSpacing w:val="0"/>
        <w:jc w:val="right"/>
        <w:ind w:left="4820"/>
        <w:spacing w:lineRule="auto" w:line="240"/>
        <w:pBdr/>
      </w:pPr>
      <w:r w:rsidR="00000000" w:rsidRPr="00000000" w:rsidDel="00000000">
        <w:rPr>
          <w:rStyle w:val="paragraph"/>
          <w:rtl w:val="0"/>
        </w:rPr>
        <w:t xml:space="preserve"/>
      </w:r>
      <w:r w:rsidR="00000000" w:rsidRPr="00000000" w:rsidDel="00000000">
        <w:rPr>
          <w:rStyle w:val="paragraph"/>
          <w:i w:val="1"/>
          <w:rtl w:val="0"/>
        </w:rPr>
        <w:t xml:space="preserve">Izdoti saskaņā ar Eiropas Savienības struktūrfondu un</w:t>
      </w:r>
      <w:r>
        <w:br/>
      </w:r>
      <w:r w:rsidR="00000000" w:rsidRPr="00000000" w:rsidDel="00000000">
        <w:rPr>
          <w:rStyle w:val="paragraph"/>
          <w:i w:val="1"/>
          <w:rtl w:val="0"/>
        </w:rPr>
        <w:t xml:space="preserve">Kohēzijas fonda 2014.–2020. gada plānošanas perioda</w:t>
      </w:r>
      <w:r>
        <w:br/>
      </w:r>
      <w:r w:rsidR="00000000" w:rsidRPr="00000000" w:rsidDel="00000000">
        <w:rPr>
          <w:rStyle w:val="paragraph"/>
          <w:i w:val="1"/>
          <w:rtl w:val="0"/>
        </w:rPr>
        <w:t xml:space="preserve">vadības likuma 20. panta 6. un 13. punktu</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Izdarīt Ministru kabineta 2016. gada 12. janvāra noteikumos Nr. 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(Latvijas Vēstnesis, 2016, 14. nr.; 2017, 76. nr.; 2018, 43., 96. nr.; 2019, 7., 129. nr.; 2020, 94. nr.; 2021, 72. nr.) šādus grozījumus: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Izteikt noteikumu nosaukumu šādā redakcijā:</w:t>
      </w:r>
    </w:p>
    <w:p w:rsidP="00000000" w:rsidRDefault="00000000" w:rsidR="00000000" w:rsidRPr="00000000" w:rsidDel="00000000">
      <w:pPr>
        <w:numPr>
          <w:ilvl w:val="2"/>
          <w:numId w:val="1"/>
        </w:numPr>
        <w:ind w:left="0" w:hanging="0"/>
        <w:jc w:val="center"/>
        <w:contextualSpacing w:val="0"/>
        <w:spacing w:before="0"/>
        <w:rPr>
          <w:u w:val="none"/>
        </w:rPr>
      </w:pPr>
      <w:r w:rsidR="00000000" w:rsidRPr="00000000" w:rsidDel="00000000">
        <w:rPr>
          <w:b w:val="1"/>
          <w:rtl w:val="0"/>
        </w:rPr>
        <w:t xml:space="preserve"/>
      </w:r>
      <w:r w:rsidR="00000000" w:rsidRPr="00000000" w:rsidDel="00000000">
        <w:rPr>
          <w:b w:val="1"/>
          <w:rtl w:val="0"/>
        </w:rPr>
        <w:t xml:space="preserve">"Darbības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un 13.1.2. specifiskā atbalsta mērķa "Atveseļošanas pasākumi izglītības un pētniecības nozarē (ERAF)" 13.1.2.1. pasākuma "Praktiskas ievirzes pētījumi" īstenošanas noteikumi".</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Izteikt 1.1. apakšpunktu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"1.1. 1.1. kārtību, kādā īsteno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pasākumu "Praktiskas ievirzes pētījumi" (turpmāk – 1.1.1.1. pasākums) un 13.1.2. specifiskā atbalsta mērķa "Atveseļošanas pasākumi izglītības  un pētniecības nozarē (ERAF) " 13.1.2.1. pasākuma "Praktiskas ievirzes pētījumi" (turpmāk – 13.1.2.1. pasākums) (turpmāk abi kopā – pasākums);".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Izteikt 7.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 1.1.1.1. pasākuma ietvaros ir sasniedzami šādi uzraudzības rādītāji:</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7.1. iznākuma rādītāji līdz 2018. gada 31. decembrim:</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7.1.1. jaunu pētnieku skaits atbalstītajās vienībās (pilnas slodzes ekvivalents) – 23;</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7.1.2. zinātnisko rakstu skaits, kuru izstrādei un publicēšanai sniegts atbalsts projektu ietvaros, – 29;</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7.1.3. jaunu produktu un tehnoloģiju skaits, kas ir komercializējamas un kuru izstrādei sniegts atbalsts projektu ietvaros, – 37;</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7.1.4. privātās investīcijas, kas papildina valsts atbalstu inovācijām vai pētniecības un izstrādes projektiem, – 1 925 000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7.1.5. komersantu skaits, kuri sadarbojas ar pētniecības institūcijām, – 15;</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7.2. finanšu rādītāji līdz 2018. gada 31. decembrim – sertificēti izdevumi 16 733 925 </w:t>
      </w:r>
      <w:r w:rsidR="00000000" w:rsidRPr="00000000" w:rsidDel="00000000">
        <w:rPr>
          <w:i w:val="1"/>
          <w:rtl w:val="0"/>
        </w:rPr>
        <w:t xml:space="preserve">euro</w:t>
      </w:r>
      <w:r w:rsidR="00000000" w:rsidRPr="00000000" w:rsidDel="00000000">
        <w:rPr>
          <w:rtl w:val="0"/>
        </w:rPr>
        <w:t xml:space="preserve"> apmērā;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7.3. iznākuma rādītāji līdz 2023. gada 31. decembrim:</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7.3.1. jaunu pētnieku skaits atbalstītajās vienībās (pilnas slodzes ekvivalents) – 59;</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7.3.2. zinātnisko rakstu skaits, kuru izstrādei un publicēšanai sniegts atbalsts projektu iesniegumu ietvaros, – 385;</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7.3.3. jaunu produktu un tehnoloģiju skaits, kas ir komercializējamas un kuru izstrādei sniegts atbalsts projektu iesniegumu ietvaros, – 305;</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7.3.4. privātās investīcijas, kas papildina valsts atbalstu inovācijām vai pētniecības un izstrādes projektiem, – 11 846 013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7.3.5. komersantu skaits, kuri sadarbojas ar pētniecības institūcijām, – 119;</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7.3.6. jauno zinātnieku skaits (pilnas slodzes ekvivalents), kuri projekta ietvaros pilnveidojuši kompetenci, ieskaitot karjeras izaugsmes un personāla atjaunotnes procesus, – 290;</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7.4. rezultāta rādītāji līdz 2023. gada 31. decembrim, kas sasniedzami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koprezultātā: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7.4.1. vidējais zinātnisko publikāciju skaits uz vienu zinātniskā personāla PLE gadā – 0,48;</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7.4.2. valsts un augstākās izglītības sektora piesaistītais ārējais finansējums zinātniski pētnieciskajam darbam – 160 600 000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Papildināt ar 7.</w:t>
      </w:r>
      <w:r w:rsidR="00000000" w:rsidRPr="00000000" w:rsidDel="00000000">
        <w:rPr>
          <w:vertAlign w:val="superscript"/>
          <w:rtl w:val="0"/>
        </w:rPr>
        <w:t xml:space="preserve">1</w:t>
      </w:r>
      <w:r w:rsidR="00000000" w:rsidRPr="00000000" w:rsidDel="00000000">
        <w:rPr>
          <w:rtl w:val="0"/>
        </w:rPr>
        <w:t xml:space="preserve">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w:t>
      </w:r>
      <w:r w:rsidR="00000000" w:rsidRPr="00000000" w:rsidDel="00000000">
        <w:rPr>
          <w:vertAlign w:val="superscript"/>
          <w:rtl w:val="0"/>
        </w:rPr>
        <w:t xml:space="preserve">1</w:t>
      </w:r>
      <w:r w:rsidR="00000000" w:rsidRPr="00000000" w:rsidDel="00000000">
        <w:rPr>
          <w:rtl w:val="0"/>
        </w:rPr>
        <w:t xml:space="preserve"> 13.1.2.1. pasākuma ietvaros līdz 2023. gada 31. decembrim ir sasniedzami šādi uzraudzības rādītāji:</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w:t>
      </w:r>
      <w:r w:rsidR="00000000" w:rsidRPr="00000000" w:rsidDel="00000000">
        <w:rPr>
          <w:vertAlign w:val="superscript"/>
          <w:rtl w:val="0"/>
        </w:rPr>
        <w:t xml:space="preserve">1</w:t>
      </w:r>
      <w:r w:rsidR="00000000" w:rsidRPr="00000000" w:rsidDel="00000000">
        <w:rPr>
          <w:rtl w:val="0"/>
        </w:rPr>
        <w:t xml:space="preserve">1. iznākuma rādītājs: jauno produktu un tehnoloģiju skaits, kas ir komercializējami un kuru izstrādei sniegts atbalsts, prototipu skaits, – 23;</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w:t>
      </w:r>
      <w:r w:rsidR="00000000" w:rsidRPr="00000000" w:rsidDel="00000000">
        <w:rPr>
          <w:vertAlign w:val="superscript"/>
          <w:rtl w:val="0"/>
        </w:rPr>
        <w:t xml:space="preserve">1</w:t>
      </w:r>
      <w:r w:rsidR="00000000" w:rsidRPr="00000000" w:rsidDel="00000000">
        <w:rPr>
          <w:rtl w:val="0"/>
        </w:rPr>
        <w:t xml:space="preserve">2. specifiskais rezultātā rādītājs: P&amp;A granti COVID-19 ārstēšanai (medikamenti) un vakcīnām (kopējās publiskās izmaksas, EUR), – 2 000 000 euro."</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Izteikt 11.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"11. Pasākumiem plānotais kopējais attiecināmais publiskais finansējums ir 111 946 874 euro (tai skaitā 13.1.2.1. pasākuma publiskais finansējums – 11 000 000 euro), ko veido Eiropas Reģionālās attīstības fonda finansējums 96 380 094 euro apmērā (tai skaitā finansējums Atveseļošanas palīdzība kohēzijai un Eiropas teritorijām (turpmāk – REACT-EU finansējums) 9 176 056 euro apmērā) un valsts budžeta līdzfinansējums 15 566 780 euro apmērā (tai skaitā REACT-EU finansējums 1 823 944 euro apmērā)."</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Izteikt 12.</w:t>
      </w:r>
      <w:r w:rsidR="00000000" w:rsidRPr="00000000" w:rsidDel="00000000">
        <w:rPr>
          <w:vertAlign w:val="superscript"/>
          <w:rtl w:val="0"/>
        </w:rPr>
        <w:t xml:space="preserve">2</w:t>
      </w:r>
      <w:r w:rsidR="00000000" w:rsidRPr="00000000" w:rsidDel="00000000">
        <w:rPr>
          <w:rtl w:val="0"/>
        </w:rPr>
        <w:t xml:space="preserve">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2</w:t>
      </w:r>
      <w:r w:rsidR="00000000" w:rsidRPr="00000000" w:rsidDel="00000000">
        <w:rPr>
          <w:rtl w:val="0"/>
        </w:rPr>
        <w:t xml:space="preserve"> Trešajā projektu iesniegumu atlases kārtā pieejamais kopējais attiecināmais publiskais finansējums ir ne vairāk kā 19 381 696 euro (tai skaitā 13.1.2.1. pasākuma publiskais finansējums – 1 554 916 euro), ko veido Eiropas Reģionālās attīstības fonda finansējums ne vairāk kā 15 044 401 euro apmērā (tai skaitā REACT-EU finansējums – 971 613 euro) un valsts budžeta finansējums ne vairāk kā 4 337 295 euro apmērā (tai skaitā REACT-EU finansējums – 583 303 euro), tai skaitā: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2</w:t>
      </w:r>
      <w:r w:rsidR="00000000" w:rsidRPr="00000000" w:rsidDel="00000000">
        <w:rPr>
          <w:rtl w:val="0"/>
        </w:rPr>
        <w:t xml:space="preserve">1. ar saimniecisku darbību nesaistītiem projektiem:</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2</w:t>
      </w:r>
      <w:r w:rsidR="00000000" w:rsidRPr="00000000" w:rsidDel="00000000">
        <w:rPr>
          <w:rtl w:val="0"/>
        </w:rPr>
        <w:t xml:space="preserve">1.1. pasākumu ietvaros pieejamā kopējā attiecināmā publiskā finansējuma apmērs ir ne vairāk kā 11 561 953  euro, ko veido Eiropas Reģionālās attīstības fonda finansējums ne vairāk kā 7 224 658 euro apmērā (tai skaitā REACT-EU finansējums ne vairāk kā 971 613 euro apmērā) un valsts budžeta finansējums ne vairāk kā 4 337 295 euro apmērā (tai skaitā REACT-EU finansējums ne vairāk kā 583 303 euro apmērā);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2</w:t>
      </w:r>
      <w:r w:rsidR="00000000" w:rsidRPr="00000000" w:rsidDel="00000000">
        <w:rPr>
          <w:rtl w:val="0"/>
        </w:rPr>
        <w:t xml:space="preserve">1.2. maksimālā publiskā finansējuma intensitāte ir 92,5 procenti, ko veido:</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2</w:t>
      </w:r>
      <w:r w:rsidR="00000000" w:rsidRPr="00000000" w:rsidDel="00000000">
        <w:rPr>
          <w:rtl w:val="0"/>
        </w:rPr>
        <w:t xml:space="preserve">1.2.1. valsts budžeta atbalsta intensitāte – 34,70 procenti;</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2</w:t>
      </w:r>
      <w:r w:rsidR="00000000" w:rsidRPr="00000000" w:rsidDel="00000000">
        <w:rPr>
          <w:rtl w:val="0"/>
        </w:rPr>
        <w:t xml:space="preserve">1.2.2. Eiropas Reģionālās attīstības fonda atbalsta intensitāte – 57,80 procenti;</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2</w:t>
      </w:r>
      <w:r w:rsidR="00000000" w:rsidRPr="00000000" w:rsidDel="00000000">
        <w:rPr>
          <w:rtl w:val="0"/>
        </w:rPr>
        <w:t xml:space="preserve">2. ar saimniecisku darbību saistītiem projektiem pieejamā kopējā attiecināmā publiskā finansējuma apmērs ir ne vairāk kā 7 819 743 </w:t>
      </w:r>
      <w:r w:rsidR="00000000" w:rsidRPr="00000000" w:rsidDel="00000000">
        <w:rPr>
          <w:i w:val="1"/>
          <w:rtl w:val="0"/>
        </w:rPr>
        <w:t xml:space="preserve">euro</w:t>
      </w:r>
      <w:r w:rsidR="00000000" w:rsidRPr="00000000" w:rsidDel="00000000">
        <w:rPr>
          <w:rtl w:val="0"/>
        </w:rPr>
        <w:t xml:space="preserve">, ko veido Eiropas Reģionālās attīstības fonda finansējums."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Izteikt 12.</w:t>
      </w:r>
      <w:r w:rsidR="00000000" w:rsidRPr="00000000" w:rsidDel="00000000">
        <w:rPr>
          <w:vertAlign w:val="superscript"/>
          <w:rtl w:val="0"/>
        </w:rPr>
        <w:t xml:space="preserve">3</w:t>
      </w:r>
      <w:r w:rsidR="00000000" w:rsidRPr="00000000" w:rsidDel="00000000">
        <w:rPr>
          <w:rtl w:val="0"/>
        </w:rPr>
        <w:t xml:space="preserve">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3</w:t>
      </w:r>
      <w:r w:rsidR="00000000" w:rsidRPr="00000000" w:rsidDel="00000000">
        <w:rPr>
          <w:rtl w:val="0"/>
        </w:rPr>
        <w:t xml:space="preserve"> Ceturtajā projektu iesniegumu atlases kārtā plānotais kopējais attiecināmais publiskais finansējums ir ne vairāk kā 22 064 958 euro (tai skaitā 13.1.2.1. pasākuma finansējums – 4 445 084 euro), ko veido Eiropas Reģionālās attīstības fonda finansējums, un tā apmērs ir ne lielāks kā 20 545 619 euro (tai skaitā REACT-EU finansējums – 3 954 443 euro), un valsts budžeta finansējums, kura apmērs ir ne lielāks kā 1 519 339 euro (tai skaitā REACT-EU finansējums – 490 641 euro), tai skaitā: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3</w:t>
      </w:r>
      <w:r w:rsidR="00000000" w:rsidRPr="00000000" w:rsidDel="00000000">
        <w:rPr>
          <w:rtl w:val="0"/>
        </w:rPr>
        <w:t xml:space="preserve">1. ar saimniecisku darbību nesaistītiem projektiem:</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3</w:t>
      </w:r>
      <w:r w:rsidR="00000000" w:rsidRPr="00000000" w:rsidDel="00000000">
        <w:rPr>
          <w:rtl w:val="0"/>
        </w:rPr>
        <w:t xml:space="preserve">1.1. pasākumu ietvaros pieejamā kopējā attiecināmā publiskā finansējuma apmērs ir ne mazāk kā 12 907 968 euro, ko veido Eiropas Reģionālās attīstības fonda finansējums ne vairāk kā 11 388 629 euro apmērā (tai skaitā REACT-EU finansējums ne vairāk kā 3 954 443 euro) un valsts budžeta finansējums ne mazāk kā 1 519 339 euro apmērā (tai skaitā REACT-EU finansējums ne vairāk kā 490 641 euro);</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3</w:t>
      </w:r>
      <w:r w:rsidR="00000000" w:rsidRPr="00000000" w:rsidDel="00000000">
        <w:rPr>
          <w:rtl w:val="0"/>
        </w:rPr>
        <w:t xml:space="preserve">1.2. maksimālā publiskā finansējuma intensitāte ir 92,50 procenti, ko veido:</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3</w:t>
      </w:r>
      <w:r w:rsidR="00000000" w:rsidRPr="00000000" w:rsidDel="00000000">
        <w:rPr>
          <w:rtl w:val="0"/>
        </w:rPr>
        <w:t xml:space="preserve">1.2.1. valsts budžeta atbalsta intensitāte – 10,21 procents;</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3</w:t>
      </w:r>
      <w:r w:rsidR="00000000" w:rsidRPr="00000000" w:rsidDel="00000000">
        <w:rPr>
          <w:rtl w:val="0"/>
        </w:rPr>
        <w:t xml:space="preserve">1.2.2. Eiropas Reģionālās attīstības fonda atbalsta intensitāte – 82,29 procenti;</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3</w:t>
      </w:r>
      <w:r w:rsidR="00000000" w:rsidRPr="00000000" w:rsidDel="00000000">
        <w:rPr>
          <w:rtl w:val="0"/>
        </w:rPr>
        <w:t xml:space="preserve">2. ar saimniecisku darbību saistītiem projektiem pieejamā kopējā attiecināmā publiskā finansējuma apmērs ir ne mazāk kā 9 156 990 </w:t>
      </w:r>
      <w:r w:rsidR="00000000" w:rsidRPr="00000000" w:rsidDel="00000000">
        <w:rPr>
          <w:i w:val="1"/>
          <w:rtl w:val="0"/>
        </w:rPr>
        <w:t xml:space="preserve">euro</w:t>
      </w:r>
      <w:r w:rsidR="00000000" w:rsidRPr="00000000" w:rsidDel="00000000">
        <w:rPr>
          <w:rtl w:val="0"/>
        </w:rPr>
        <w:t xml:space="preserve">, ko veido Eiropas Reģionālās attīstības fonda finansējums."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Izteikt 12.</w:t>
      </w:r>
      <w:r w:rsidR="00000000" w:rsidRPr="00000000" w:rsidDel="00000000">
        <w:rPr>
          <w:vertAlign w:val="superscript"/>
          <w:rtl w:val="0"/>
        </w:rPr>
        <w:t xml:space="preserve">4</w:t>
      </w:r>
      <w:r w:rsidR="00000000" w:rsidRPr="00000000" w:rsidDel="00000000">
        <w:rPr>
          <w:rtl w:val="0"/>
        </w:rPr>
        <w:t xml:space="preserve">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4</w:t>
      </w:r>
      <w:r w:rsidR="00000000" w:rsidRPr="00000000" w:rsidDel="00000000">
        <w:rPr>
          <w:rtl w:val="0"/>
        </w:rPr>
        <w:t xml:space="preserve"> Piektajā projektu iesniegumu atlases kārtā plānotais kopējais attiecināmais publiskais finansējums ir 8 358 395 euro, ko veido Eiropas Reģionālās attīstības fonda finansējums, kas nepārsniedz 85 % no kopējā piektajā projektu iesniegumu atlases kārtā plānotā attiecināmā finansējuma un tā apmērs ir 7 225 657 euro (tai skaitā REACT-EU finansējums – 4 250 000 euro), un valsts budžeta finansējums 1 132 738 euro apmērā (tai skaitā REACT-EU finansējums - 750 000 euro), tai skaitā: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4</w:t>
      </w:r>
      <w:r w:rsidR="00000000" w:rsidRPr="00000000" w:rsidDel="00000000">
        <w:rPr>
          <w:rtl w:val="0"/>
        </w:rPr>
        <w:t xml:space="preserve">1. šo noteikumu 12.</w:t>
      </w:r>
      <w:r w:rsidR="00000000" w:rsidRPr="00000000" w:rsidDel="00000000">
        <w:rPr>
          <w:vertAlign w:val="superscript"/>
          <w:rtl w:val="0"/>
        </w:rPr>
        <w:t xml:space="preserve">5 </w:t>
      </w:r>
      <w:r w:rsidR="00000000" w:rsidRPr="00000000" w:rsidDel="00000000">
        <w:rPr>
          <w:rtl w:val="0"/>
        </w:rPr>
        <w:t xml:space="preserve">1. apakšpunktā minētajās tematiskajās jomās:</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4</w:t>
      </w:r>
      <w:r w:rsidR="00000000" w:rsidRPr="00000000" w:rsidDel="00000000">
        <w:rPr>
          <w:rtl w:val="0"/>
        </w:rPr>
        <w:t xml:space="preserve">1.1. kopējais attiecināmais publiskais finansējums ir 5 000 000 euro, ko veido REACT-EU finansējums, tai skaitā Eiropas Reģionālās attīstības fonda finansējums 4 250 000 euro apmērā un valsts budžeta finansējums 750 000 euro apmērā;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4</w:t>
      </w:r>
      <w:r w:rsidR="00000000" w:rsidRPr="00000000" w:rsidDel="00000000">
        <w:rPr>
          <w:rtl w:val="0"/>
        </w:rPr>
        <w:t xml:space="preserve">1.2. maksimālā publiskā finansējuma intensitāte ir 100 %, ko veido:</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4</w:t>
      </w:r>
      <w:r w:rsidR="00000000" w:rsidRPr="00000000" w:rsidDel="00000000">
        <w:rPr>
          <w:rtl w:val="0"/>
        </w:rPr>
        <w:t xml:space="preserve">1.2.1. valsts budžeta atbalsta intensitāte – 15 %;</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4</w:t>
      </w:r>
      <w:r w:rsidR="00000000" w:rsidRPr="00000000" w:rsidDel="00000000">
        <w:rPr>
          <w:rtl w:val="0"/>
        </w:rPr>
        <w:t xml:space="preserve">1.2.2. Eiropas Reģionālās attīstības fonda atbalsta intensitāte – 85 %;</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4</w:t>
      </w:r>
      <w:r w:rsidR="00000000" w:rsidRPr="00000000" w:rsidDel="00000000">
        <w:rPr>
          <w:rtl w:val="0"/>
        </w:rPr>
        <w:t xml:space="preserve">2. šo noteikumu 12.</w:t>
      </w:r>
      <w:r w:rsidR="00000000" w:rsidRPr="00000000" w:rsidDel="00000000">
        <w:rPr>
          <w:vertAlign w:val="superscript"/>
          <w:rtl w:val="0"/>
        </w:rPr>
        <w:t xml:space="preserve">5</w:t>
      </w:r>
      <w:r w:rsidR="00000000" w:rsidRPr="00000000" w:rsidDel="00000000">
        <w:rPr>
          <w:rtl w:val="0"/>
        </w:rPr>
        <w:t xml:space="preserve"> 2. apakšpunktā minētajās tematiskajās jomās:</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4</w:t>
      </w:r>
      <w:r w:rsidR="00000000" w:rsidRPr="00000000" w:rsidDel="00000000">
        <w:rPr>
          <w:rtl w:val="0"/>
        </w:rPr>
        <w:t xml:space="preserve">2.1. pieejamā kopējā attiecināmā publiskā finansējuma apmērs ir 3 358 395 </w:t>
      </w:r>
      <w:r w:rsidR="00000000" w:rsidRPr="00000000" w:rsidDel="00000000">
        <w:rPr>
          <w:i w:val="1"/>
          <w:rtl w:val="0"/>
        </w:rPr>
        <w:t xml:space="preserve">euro</w:t>
      </w:r>
      <w:r w:rsidR="00000000" w:rsidRPr="00000000" w:rsidDel="00000000">
        <w:rPr>
          <w:rtl w:val="0"/>
        </w:rPr>
        <w:t xml:space="preserve">, ko veido Eiropas Reģionālās attīstības fonda finansējums 2 975 657 </w:t>
      </w:r>
      <w:r w:rsidR="00000000" w:rsidRPr="00000000" w:rsidDel="00000000">
        <w:rPr>
          <w:i w:val="1"/>
          <w:rtl w:val="0"/>
        </w:rPr>
        <w:t xml:space="preserve">euro</w:t>
      </w:r>
      <w:r w:rsidR="00000000" w:rsidRPr="00000000" w:rsidDel="00000000">
        <w:rPr>
          <w:rtl w:val="0"/>
        </w:rPr>
        <w:t xml:space="preserve"> apmērā un valsts budžeta finansējums 382 738 </w:t>
      </w:r>
      <w:r w:rsidR="00000000" w:rsidRPr="00000000" w:rsidDel="00000000">
        <w:rPr>
          <w:i w:val="1"/>
          <w:rtl w:val="0"/>
        </w:rPr>
        <w:t xml:space="preserve">euro</w:t>
      </w:r>
      <w:r w:rsidR="00000000" w:rsidRPr="00000000" w:rsidDel="00000000">
        <w:rPr>
          <w:rtl w:val="0"/>
        </w:rPr>
        <w:t xml:space="preserve"> apmērā;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4</w:t>
      </w:r>
      <w:r w:rsidR="00000000" w:rsidRPr="00000000" w:rsidDel="00000000">
        <w:rPr>
          <w:rtl w:val="0"/>
        </w:rPr>
        <w:t xml:space="preserve">2.2. maksimālā publiskā finansējuma intensitāte ir 92,5 %, ko veido:</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4</w:t>
      </w:r>
      <w:r w:rsidR="00000000" w:rsidRPr="00000000" w:rsidDel="00000000">
        <w:rPr>
          <w:rtl w:val="0"/>
        </w:rPr>
        <w:t xml:space="preserve">2.2.1. valsts budžeta atbalsta intensitāte – 10,54 %;</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vertAlign w:val="superscript"/>
          <w:rtl w:val="0"/>
        </w:rPr>
        <w:t xml:space="preserve">4</w:t>
      </w:r>
      <w:r w:rsidR="00000000" w:rsidRPr="00000000" w:rsidDel="00000000">
        <w:rPr>
          <w:rtl w:val="0"/>
        </w:rPr>
        <w:t xml:space="preserve">2.2.2. Eiropas Reģionālās attīstības fonda atbalsta intensitāte – 81,96 %."</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9.</w:t>
      </w:r>
      <w:r w:rsidR="00000000" w:rsidRPr="00000000" w:rsidDel="00000000">
        <w:rPr>
          <w:rtl w:val="0"/>
        </w:rPr>
        <w:t xml:space="preserve"> </w:t>
      </w:r>
      <w:r w:rsidR="00000000" w:rsidRPr="00000000" w:rsidDel="00000000">
        <w:rPr>
          <w:rtl w:val="0"/>
        </w:rPr>
        <w:t xml:space="preserve">Izteikt 20.</w:t>
      </w:r>
      <w:r w:rsidR="00000000" w:rsidRPr="00000000" w:rsidDel="00000000">
        <w:rPr>
          <w:vertAlign w:val="superscript"/>
          <w:rtl w:val="0"/>
        </w:rPr>
        <w:t xml:space="preserve">2</w:t>
      </w:r>
      <w:r w:rsidR="00000000" w:rsidRPr="00000000" w:rsidDel="00000000">
        <w:rPr>
          <w:rtl w:val="0"/>
        </w:rPr>
        <w:t xml:space="preserve">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2</w:t>
      </w:r>
      <w:r w:rsidR="00000000" w:rsidRPr="00000000" w:rsidDel="00000000">
        <w:rPr>
          <w:rtl w:val="0"/>
        </w:rPr>
        <w:t xml:space="preserve"> Projektu iesniegumu atlases kārtība otrajā, trešajā un ceturtajā projektu iesniegumu atlases kārtā ir šāda:</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2</w:t>
      </w:r>
      <w:r w:rsidR="00000000" w:rsidRPr="00000000" w:rsidDel="00000000">
        <w:rPr>
          <w:rtl w:val="0"/>
        </w:rPr>
        <w:t xml:space="preserve">1. projekta iesniegumu vērtē un salīdzina attiecīgi šo noteikumu 21. punktā minēto projektu iesniegumu kopas un šo noteikumu 22. punktā minēto projektu iesniegumu kopas ietvaros;</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2</w:t>
      </w:r>
      <w:r w:rsidR="00000000" w:rsidRPr="00000000" w:rsidDel="00000000">
        <w:rPr>
          <w:rtl w:val="0"/>
        </w:rPr>
        <w:t xml:space="preserve">2. katrai izlases kopai piemēro šādus nosacījumus:</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2</w:t>
      </w:r>
      <w:r w:rsidR="00000000" w:rsidRPr="00000000" w:rsidDel="00000000">
        <w:rPr>
          <w:rtl w:val="0"/>
        </w:rPr>
        <w:t xml:space="preserve">2.1. prioritāri atbalstāms projekta iesniegums, kurš kvalitātes kritēriju vērtējuma kopsummā ir saņēmis lielāku punktu skaitu;</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2</w:t>
      </w:r>
      <w:r w:rsidR="00000000" w:rsidRPr="00000000" w:rsidDel="00000000">
        <w:rPr>
          <w:rtl w:val="0"/>
        </w:rPr>
        <w:t xml:space="preserve">2.2. ja vairāku projektu iesniegumu kvalitātes vērtējuma kopsumma ir vienāda, prioritāri atbalstāms projekta iesniegums, kurš kvalitātes kritērijā "Izcilība" ir saņēmis augstāku vērtējumu;</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2</w:t>
      </w:r>
      <w:r w:rsidR="00000000" w:rsidRPr="00000000" w:rsidDel="00000000">
        <w:rPr>
          <w:rtl w:val="0"/>
        </w:rPr>
        <w:t xml:space="preserve">2.3. ja vairāku projektu iesniegumu vērtējums kvalitātes kritērijā "Izcilība" ir vienāds, prioritāri atbalstāms projekta iesniegums, kura rezultāti tieši sekmē Latvijas inovācijas kapacitātes palielināšanos atbilstoši šo noteikumu 24.</w:t>
      </w:r>
      <w:r w:rsidR="00000000" w:rsidRPr="00000000" w:rsidDel="00000000">
        <w:rPr>
          <w:vertAlign w:val="superscript"/>
          <w:rtl w:val="0"/>
        </w:rPr>
        <w:t xml:space="preserve">1</w:t>
      </w:r>
      <w:r w:rsidR="00000000" w:rsidRPr="00000000" w:rsidDel="00000000">
        <w:rPr>
          <w:rtl w:val="0"/>
        </w:rPr>
        <w:t xml:space="preserve"> 2. apakšpunkta nosacījumiem šādā secībā: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2</w:t>
      </w:r>
      <w:r w:rsidR="00000000" w:rsidRPr="00000000" w:rsidDel="00000000">
        <w:rPr>
          <w:rtl w:val="0"/>
        </w:rPr>
        <w:t xml:space="preserve">2.3.1. tehnoloģiju tiesību komercializācija;</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2</w:t>
      </w:r>
      <w:r w:rsidR="00000000" w:rsidRPr="00000000" w:rsidDel="00000000">
        <w:rPr>
          <w:rtl w:val="0"/>
        </w:rPr>
        <w:t xml:space="preserve">2.3.2. reģistrētas tehnoloģiju tiesības;</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2</w:t>
      </w:r>
      <w:r w:rsidR="00000000" w:rsidRPr="00000000" w:rsidDel="00000000">
        <w:rPr>
          <w:rtl w:val="0"/>
        </w:rPr>
        <w:t xml:space="preserve">2.3.3. oriģināli zinātniskie raksti, kas publicēti žurnālos vai konferenču rakstu krājumos, kuru citēšanas indekss sasniedz vismaz 50 procentus no nozares vidējā citēšanas indeksa."</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10.</w:t>
      </w:r>
      <w:r w:rsidR="00000000" w:rsidRPr="00000000" w:rsidDel="00000000">
        <w:rPr>
          <w:rtl w:val="0"/>
        </w:rPr>
        <w:t xml:space="preserve"> </w:t>
      </w:r>
      <w:r w:rsidR="00000000" w:rsidRPr="00000000" w:rsidDel="00000000">
        <w:rPr>
          <w:rtl w:val="0"/>
        </w:rPr>
        <w:t xml:space="preserve">Papildināt ar 20.</w:t>
      </w:r>
      <w:r w:rsidR="00000000" w:rsidRPr="00000000" w:rsidDel="00000000">
        <w:rPr>
          <w:vertAlign w:val="superscript"/>
          <w:rtl w:val="0"/>
        </w:rPr>
        <w:t xml:space="preserve">3</w:t>
      </w:r>
      <w:r w:rsidR="00000000" w:rsidRPr="00000000" w:rsidDel="00000000">
        <w:rPr>
          <w:rtl w:val="0"/>
        </w:rPr>
        <w:t xml:space="preserve">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3</w:t>
      </w:r>
      <w:r w:rsidR="00000000" w:rsidRPr="00000000" w:rsidDel="00000000">
        <w:rPr>
          <w:rtl w:val="0"/>
        </w:rPr>
        <w:t xml:space="preserve"> Projektu iesniegumu atlases kārtība piektajā projektu iesniegumu atlases kārtā ir šāda:</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3</w:t>
      </w:r>
      <w:r w:rsidR="00000000" w:rsidRPr="00000000" w:rsidDel="00000000">
        <w:rPr>
          <w:rtl w:val="0"/>
        </w:rPr>
        <w:t xml:space="preserve">1. projekta iesniegumu vērtē un salīdzina attiecīgi šo noteikumu 12.5 1. apakšpunktā minēto projektu iesniegumu kopas un šo noteikumu 12.5 2. apakšpunktā minēto projektu iesniegumu kopas ietvaros;</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3</w:t>
      </w:r>
      <w:r w:rsidR="00000000" w:rsidRPr="00000000" w:rsidDel="00000000">
        <w:rPr>
          <w:rtl w:val="0"/>
        </w:rPr>
        <w:t xml:space="preserve">2. katrai izlases kopai piemēro šādus nosacījumus:</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3</w:t>
      </w:r>
      <w:r w:rsidR="00000000" w:rsidRPr="00000000" w:rsidDel="00000000">
        <w:rPr>
          <w:rtl w:val="0"/>
        </w:rPr>
        <w:t xml:space="preserve">2.1. prioritāri atbalstāms projekta iesniegums, kurš kvalitātes kritēriju vērtējuma kopsummā ir saņēmis lielāku punktu skaitu;</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3</w:t>
      </w:r>
      <w:r w:rsidR="00000000" w:rsidRPr="00000000" w:rsidDel="00000000">
        <w:rPr>
          <w:rtl w:val="0"/>
        </w:rPr>
        <w:t xml:space="preserve">2.2. ja vairāku projektu iesniegumu kvalitātes vērtējuma kopsumma ir vienāda, prioritāri atbalstāms projekta iesniegums, kurš kvalitātes kritērijā "Izcilība" ir saņēmis augstāku vērtējumu;</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3</w:t>
      </w:r>
      <w:r w:rsidR="00000000" w:rsidRPr="00000000" w:rsidDel="00000000">
        <w:rPr>
          <w:rtl w:val="0"/>
        </w:rPr>
        <w:t xml:space="preserve">2.3. 2.3. ja vairāku projektu iesniegumu vērtējums kvalitātes kritērijā "Izcilība" ir vienāds, prioritāri atbalstāms projekta iesniegums, kura rezultāti tieši sekmē Latvijas inovācijas kapacitātes palielināšanos atbilstoši šo noteikumu 24.1 2. apakšpunkta nosacījumiem šādā secībā: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3</w:t>
      </w:r>
      <w:r w:rsidR="00000000" w:rsidRPr="00000000" w:rsidDel="00000000">
        <w:rPr>
          <w:rtl w:val="0"/>
        </w:rPr>
        <w:t xml:space="preserve">2.3.1. tehnoloģiju tiesību komercializācija;</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3</w:t>
      </w:r>
      <w:r w:rsidR="00000000" w:rsidRPr="00000000" w:rsidDel="00000000">
        <w:rPr>
          <w:rtl w:val="0"/>
        </w:rPr>
        <w:t xml:space="preserve">2.3.2. reģistrētas tehnoloģiju tiesības;</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vertAlign w:val="superscript"/>
          <w:rtl w:val="0"/>
        </w:rPr>
        <w:t xml:space="preserve">3</w:t>
      </w:r>
      <w:r w:rsidR="00000000" w:rsidRPr="00000000" w:rsidDel="00000000">
        <w:rPr>
          <w:rtl w:val="0"/>
        </w:rPr>
        <w:t xml:space="preserve">2.3.3. oriģināli zinātniskie raksti, kas publicēti žurnālos vai konferenču rakstu krājumos, kuru citēšanas indekss sasniedz vismaz 50 procentus no nozares vidējā citēšanas indeksa."</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11.</w:t>
      </w:r>
      <w:r w:rsidR="00000000" w:rsidRPr="00000000" w:rsidDel="00000000">
        <w:rPr>
          <w:rtl w:val="0"/>
        </w:rPr>
        <w:t xml:space="preserve"> </w:t>
      </w:r>
      <w:r w:rsidR="00000000" w:rsidRPr="00000000" w:rsidDel="00000000">
        <w:rPr>
          <w:rtl w:val="0"/>
        </w:rPr>
        <w:t xml:space="preserve">Izteikt 50.1. apakšpunktu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"50.1. pirmajā, otrajā, trešajā un ceturtajā projektu iesniegumu atlases kārtā: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50.1.1. 92,5 procenti šo noteikumu 21. punktā minētajos gadījumos;</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50.1.2. 50 procenti šo noteikumu 22. punktā minētajos gadījumos."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rtl w:val="0"/>
        </w:rPr>
        <w:t xml:space="preserve"> </w:t>
      </w:r>
      <w:r w:rsidR="00000000" w:rsidRPr="00000000" w:rsidDel="00000000">
        <w:rPr>
          <w:rtl w:val="0"/>
        </w:rPr>
        <w:t xml:space="preserve">Izteikt 50.2. apakšpunktu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"50.2. piektajā projektu iesniegumu atlases kārtā: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50.2.1. 100 procenti šo noteikumu 12.5 1. apakšpunktā minētajos gadījumos;</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50.2.2. 92,5 procenti šo noteikumu 12.5 2. apakšpunktā minētajos gadījumos."</w:t>
      </w:r>
    </w:p>
    <w:p w:rsidP="00000000" w:rsidRDefault="00000000" w:rsidR="00000000" w:rsidRPr="00000000" w:rsidDel="00000000">
      <w:pPr>
        <w:contextualSpacing w:val="0"/>
        <w:spacing w:before="480" w:beforeAutospacing="0"/>
        <w:spacing w:lineRule="auto" w:line="240"/>
        <w:pBdr/>
      </w:pPr>
      <w:r w:rsidR="00000000" w:rsidRPr="00000000" w:rsidDel="00000000">
        <w:rPr>
          <w:rtl w:val="0"/>
        </w:rPr>
        <w:t xml:space="preserve"/>
      </w:r>
    </w:p>
    <w:tbl>
      <w:tblPr>
        <w:tblStyle w:val="DefaultTable"/>
        <w:bidiVisual w:val="0"/>
        <w:tblW w:w="9642.0" w:type="dxa"/>
        <w:tblInd w:w="0.0" w:type="dxa"/>
        <w:jc w:val="left"/>
        <w:tblLayout w:type="fixed"/>
        <w:tblLook w:val="0600"/>
      </w:tblPr>
      <w:tblGrid>
        <w:gridCol w:w="2721"/>
        <w:gridCol w:w="4200"/>
        <w:gridCol w:w="2721"/>
        <w:tblGridChange w:id="0">
          <w:tblGrid>
            <w:gridCol w:w="2721"/>
            <w:gridCol w:w="4200"/>
            <w:gridCol w:w="2721"/>
          </w:tblGrid>
        </w:tblGridChange>
      </w:tblGrid>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Ministru prezidents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bl>
    <w:p w:rsidP="00000000" w:rsidRDefault="00000000" w:rsidR="00000000" w:rsidRPr="00000000" w:rsidDel="00000000">
      <w:pPr>
        <w:contextualSpacing w:val="0"/>
        <w:ind w:left="705"/>
        <w:spacing w:before="800" w:beforeAutospacing="0"/>
        <w:spacing w:lineRule="auto" w:line="240"/>
        <w:pBdr/>
      </w:pPr>
      <w:r w:rsidR="00000000" w:rsidRPr="00000000" w:rsidDel="00000000">
        <w:rPr>
          <w:rtl w:val="0"/>
        </w:rPr>
        <w:t xml:space="preserve"/>
      </w:r>
      <w:r w:rsidR="00000000" w:rsidRPr="00000000" w:rsidDel="00000000">
        <w:rPr>
          <w:sz w:val="24"/>
          <w:rtl w:val="0"/>
        </w:rPr>
        <w:t xml:space="preserve">* Dokuments ir parakstīts ar drošu elektronisko parakstu</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(grozījumu) projekts 21-TA-1538</w:t>
    </w:r>
    <w:r>
      <w:br/>
    </w:r>
    <w:r w:rsidR="00000000" w:rsidRPr="00000000" w:rsidDel="00000000">
      <w:rPr>
        <w:rtl w:val="0"/>
      </w:rPr>
      <w:t xml:space="preserve">Izdrukāts 10.12.2021. 15.16</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(grozījumu) projekts 21-TA-1538</w:t>
    </w:r>
    <w:r>
      <w:br/>
    </w:r>
    <w:r w:rsidR="00000000" w:rsidRPr="00000000" w:rsidDel="00000000">
      <w:rPr>
        <w:rtl w:val="0"/>
      </w:rPr>
      <w:t xml:space="preserve">Izdrukāts 10.12.2021. 15.16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lvl w:ilvl="2">
      <w:start w:val="1"/>
      <w:numFmt w:val="bullet"/>
      <w:lvlRestart w:val="1"/>
      <w:lvlText w:val=""/>
      <w:lvlJc w:val="left"/>
      <w:pPr>
        <w:ind w:left="0" w:firstLine="705"/>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noteikumu_(grozījumu)_projekts_21-TA-1538.docx</dc:title>
</cp:coreProperties>
</file>

<file path=docProps/custom.xml><?xml version="1.0" encoding="utf-8"?>
<Properties xmlns="http://schemas.openxmlformats.org/officeDocument/2006/custom-properties" xmlns:vt="http://schemas.openxmlformats.org/officeDocument/2006/docPropsVTypes"/>
</file>