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47" w:rsidRDefault="00EF2D6D" w:rsidP="00EF2D6D">
      <w:pPr>
        <w:spacing w:after="0" w:line="240" w:lineRule="auto"/>
        <w:jc w:val="center"/>
        <w:rPr>
          <w:rFonts w:ascii="Times New Roman" w:hAnsi="Times New Roman"/>
          <w:b/>
          <w:sz w:val="24"/>
          <w:szCs w:val="24"/>
        </w:rPr>
      </w:pPr>
      <w:bookmarkStart w:id="0" w:name="_GoBack"/>
      <w:bookmarkEnd w:id="0"/>
      <w:r w:rsidRPr="00EF2D6D">
        <w:rPr>
          <w:rFonts w:ascii="Times New Roman" w:hAnsi="Times New Roman"/>
          <w:b/>
          <w:sz w:val="24"/>
          <w:szCs w:val="24"/>
        </w:rPr>
        <w:t>Ministru kabineta noteikumu</w:t>
      </w:r>
      <w:r w:rsidR="00AC7447" w:rsidRPr="00EF2D6D">
        <w:rPr>
          <w:rFonts w:ascii="Times New Roman" w:hAnsi="Times New Roman"/>
          <w:b/>
          <w:sz w:val="24"/>
          <w:szCs w:val="24"/>
        </w:rPr>
        <w:t xml:space="preserve"> projekta</w:t>
      </w:r>
      <w:r w:rsidRPr="00EF2D6D">
        <w:rPr>
          <w:rFonts w:ascii="Times New Roman" w:hAnsi="Times New Roman"/>
          <w:b/>
          <w:sz w:val="24"/>
          <w:szCs w:val="24"/>
        </w:rPr>
        <w:t xml:space="preserve"> “</w:t>
      </w:r>
      <w:r w:rsidR="00050441" w:rsidRPr="00050441">
        <w:rPr>
          <w:rFonts w:ascii="Times New Roman" w:hAnsi="Times New Roman"/>
          <w:b/>
          <w:sz w:val="24"/>
          <w:szCs w:val="24"/>
        </w:rPr>
        <w:t>Gr</w:t>
      </w:r>
      <w:r w:rsidR="00050441">
        <w:rPr>
          <w:rFonts w:ascii="Times New Roman" w:hAnsi="Times New Roman"/>
          <w:b/>
          <w:sz w:val="24"/>
          <w:szCs w:val="24"/>
        </w:rPr>
        <w:t>ozīj</w:t>
      </w:r>
      <w:r w:rsidR="009F4866">
        <w:rPr>
          <w:rFonts w:ascii="Times New Roman" w:hAnsi="Times New Roman"/>
          <w:b/>
          <w:sz w:val="24"/>
          <w:szCs w:val="24"/>
        </w:rPr>
        <w:t xml:space="preserve">umi Ministru kabineta 2006.gada </w:t>
      </w:r>
      <w:r w:rsidR="00050441">
        <w:rPr>
          <w:rFonts w:ascii="Times New Roman" w:hAnsi="Times New Roman"/>
          <w:b/>
          <w:sz w:val="24"/>
          <w:szCs w:val="24"/>
        </w:rPr>
        <w:t>10.oktobra noteikumos Nr.8</w:t>
      </w:r>
      <w:r w:rsidR="00050441" w:rsidRPr="00050441">
        <w:rPr>
          <w:rFonts w:ascii="Times New Roman" w:hAnsi="Times New Roman"/>
          <w:b/>
          <w:sz w:val="24"/>
          <w:szCs w:val="24"/>
        </w:rPr>
        <w:t>46 “Noteikumi par p</w:t>
      </w:r>
      <w:r w:rsidR="009F4866">
        <w:rPr>
          <w:rFonts w:ascii="Times New Roman" w:hAnsi="Times New Roman"/>
          <w:b/>
          <w:sz w:val="24"/>
          <w:szCs w:val="24"/>
        </w:rPr>
        <w:t xml:space="preserve">rasībām, kritērijiem un kārtību </w:t>
      </w:r>
      <w:r w:rsidR="00050441" w:rsidRPr="00050441">
        <w:rPr>
          <w:rFonts w:ascii="Times New Roman" w:hAnsi="Times New Roman"/>
          <w:b/>
          <w:sz w:val="24"/>
          <w:szCs w:val="24"/>
        </w:rPr>
        <w:t>uzņemšanai studiju programmās”</w:t>
      </w:r>
      <w:r w:rsidR="00AC7447" w:rsidRPr="00EF2D6D">
        <w:rPr>
          <w:rFonts w:ascii="Times New Roman" w:hAnsi="Times New Roman"/>
          <w:b/>
          <w:sz w:val="24"/>
          <w:szCs w:val="24"/>
        </w:rPr>
        <w:t>” sākotnējās ietekmes novērtējuma ziņojums (anotācija)</w:t>
      </w:r>
    </w:p>
    <w:p w:rsidR="00372BDC" w:rsidRDefault="00372BDC" w:rsidP="00372BDC">
      <w:pPr>
        <w:spacing w:after="0" w:line="240" w:lineRule="auto"/>
        <w:jc w:val="both"/>
        <w:rPr>
          <w:rFonts w:ascii="Times New Roman" w:hAnsi="Times New Roman"/>
          <w:b/>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25"/>
        <w:gridCol w:w="5916"/>
      </w:tblGrid>
      <w:tr w:rsidR="00CF4535" w:rsidRPr="00BF122F" w:rsidTr="00226CCE">
        <w:trPr>
          <w:trHeight w:val="405"/>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rsidR="00CF4535" w:rsidRPr="00BF122F" w:rsidRDefault="00CF4535"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b/>
                <w:bCs/>
                <w:sz w:val="24"/>
                <w:szCs w:val="24"/>
              </w:rPr>
              <w:t>Tiesību akta p</w:t>
            </w:r>
            <w:r>
              <w:rPr>
                <w:rFonts w:ascii="Times New Roman" w:hAnsi="Times New Roman"/>
                <w:b/>
                <w:bCs/>
                <w:sz w:val="24"/>
                <w:szCs w:val="24"/>
              </w:rPr>
              <w:t>rojekta anotācijas kopsavilkums</w:t>
            </w:r>
          </w:p>
        </w:tc>
      </w:tr>
      <w:tr w:rsidR="00CF4535" w:rsidRPr="00BF122F" w:rsidTr="00CF4535">
        <w:trPr>
          <w:trHeight w:val="405"/>
        </w:trPr>
        <w:tc>
          <w:tcPr>
            <w:tcW w:w="1799" w:type="pct"/>
            <w:tcBorders>
              <w:top w:val="outset" w:sz="6" w:space="0" w:color="414142"/>
              <w:left w:val="outset" w:sz="6" w:space="0" w:color="414142"/>
              <w:bottom w:val="outset" w:sz="6" w:space="0" w:color="414142"/>
              <w:right w:val="outset" w:sz="6" w:space="0" w:color="414142"/>
            </w:tcBorders>
            <w:hideMark/>
          </w:tcPr>
          <w:p w:rsidR="00CF4535" w:rsidRPr="00BF122F" w:rsidRDefault="00CF4535" w:rsidP="00CF4535">
            <w:pPr>
              <w:spacing w:before="100" w:beforeAutospacing="1" w:after="100" w:afterAutospacing="1" w:line="293" w:lineRule="atLeast"/>
              <w:rPr>
                <w:rFonts w:ascii="Times New Roman" w:hAnsi="Times New Roman"/>
                <w:sz w:val="24"/>
                <w:szCs w:val="24"/>
              </w:rPr>
            </w:pPr>
            <w:r>
              <w:rPr>
                <w:rFonts w:ascii="Times New Roman" w:hAnsi="Times New Roman"/>
                <w:sz w:val="24"/>
                <w:szCs w:val="24"/>
              </w:rPr>
              <w:t>Mērķis, risinājums un projekta spēkā stāšanās laiks (500 zīmes bez atstarpēm)</w:t>
            </w:r>
          </w:p>
        </w:tc>
        <w:tc>
          <w:tcPr>
            <w:tcW w:w="3201" w:type="pct"/>
            <w:tcBorders>
              <w:top w:val="outset" w:sz="6" w:space="0" w:color="414142"/>
              <w:left w:val="outset" w:sz="6" w:space="0" w:color="414142"/>
              <w:bottom w:val="outset" w:sz="6" w:space="0" w:color="414142"/>
              <w:right w:val="outset" w:sz="6" w:space="0" w:color="414142"/>
            </w:tcBorders>
            <w:hideMark/>
          </w:tcPr>
          <w:p w:rsidR="00CF4535" w:rsidRPr="00BF122F" w:rsidRDefault="00CF4535" w:rsidP="007127BF">
            <w:pPr>
              <w:tabs>
                <w:tab w:val="left" w:pos="323"/>
              </w:tabs>
              <w:spacing w:after="0" w:line="240" w:lineRule="auto"/>
              <w:jc w:val="both"/>
              <w:rPr>
                <w:rFonts w:ascii="Times New Roman" w:hAnsi="Times New Roman"/>
                <w:sz w:val="24"/>
                <w:szCs w:val="24"/>
              </w:rPr>
            </w:pPr>
            <w:r w:rsidRPr="00C9178F">
              <w:rPr>
                <w:rFonts w:ascii="Times New Roman" w:hAnsi="Times New Roman"/>
                <w:sz w:val="24"/>
                <w:szCs w:val="24"/>
              </w:rPr>
              <w:t>Mini</w:t>
            </w:r>
            <w:r w:rsidR="008D0F2E">
              <w:rPr>
                <w:rFonts w:ascii="Times New Roman" w:hAnsi="Times New Roman"/>
                <w:sz w:val="24"/>
                <w:szCs w:val="24"/>
              </w:rPr>
              <w:t>stru kabineta noteikumu projekta</w:t>
            </w:r>
            <w:r w:rsidRPr="00C9178F">
              <w:rPr>
                <w:rFonts w:ascii="Times New Roman" w:hAnsi="Times New Roman"/>
                <w:sz w:val="24"/>
                <w:szCs w:val="24"/>
              </w:rPr>
              <w:t xml:space="preserve"> “</w:t>
            </w:r>
            <w:r w:rsidR="00050441" w:rsidRPr="00050441">
              <w:rPr>
                <w:rFonts w:ascii="Times New Roman" w:hAnsi="Times New Roman"/>
                <w:sz w:val="24"/>
                <w:szCs w:val="24"/>
              </w:rPr>
              <w:t>Grozījumi M</w:t>
            </w:r>
            <w:r w:rsidR="00050441">
              <w:rPr>
                <w:rFonts w:ascii="Times New Roman" w:hAnsi="Times New Roman"/>
                <w:sz w:val="24"/>
                <w:szCs w:val="24"/>
              </w:rPr>
              <w:t>inistru kabineta 2006.gada 10.oktobra noteikumos Nr.</w:t>
            </w:r>
            <w:r w:rsidR="00050441" w:rsidRPr="00050441">
              <w:rPr>
                <w:rFonts w:ascii="Times New Roman" w:hAnsi="Times New Roman"/>
                <w:sz w:val="24"/>
                <w:szCs w:val="24"/>
              </w:rPr>
              <w:t>846 “Noteikumi par prasībām, kritērijiem un kārtību uzņemšanai studiju programmās”</w:t>
            </w:r>
            <w:r w:rsidRPr="00C9178F">
              <w:rPr>
                <w:rFonts w:ascii="Times New Roman" w:hAnsi="Times New Roman"/>
                <w:sz w:val="24"/>
                <w:szCs w:val="24"/>
              </w:rPr>
              <w:t>”</w:t>
            </w:r>
            <w:r>
              <w:rPr>
                <w:rFonts w:ascii="Times New Roman" w:hAnsi="Times New Roman"/>
                <w:sz w:val="24"/>
                <w:szCs w:val="24"/>
              </w:rPr>
              <w:t xml:space="preserve"> (turpmāk – projekts) </w:t>
            </w:r>
            <w:r w:rsidR="008D0F2E">
              <w:rPr>
                <w:rFonts w:ascii="Times New Roman" w:hAnsi="Times New Roman"/>
                <w:sz w:val="24"/>
                <w:szCs w:val="24"/>
              </w:rPr>
              <w:t xml:space="preserve">mērķis ir </w:t>
            </w:r>
            <w:r w:rsidR="00F47765">
              <w:rPr>
                <w:rFonts w:ascii="Times New Roman" w:hAnsi="Times New Roman"/>
                <w:sz w:val="24"/>
                <w:szCs w:val="24"/>
              </w:rPr>
              <w:t>aktualizēt</w:t>
            </w:r>
            <w:r w:rsidR="003E31F2">
              <w:rPr>
                <w:rFonts w:ascii="Times New Roman" w:hAnsi="Times New Roman"/>
                <w:sz w:val="24"/>
                <w:szCs w:val="24"/>
              </w:rPr>
              <w:t xml:space="preserve"> prasības studētgribētāju uzņe</w:t>
            </w:r>
            <w:r w:rsidR="00F47765">
              <w:rPr>
                <w:rFonts w:ascii="Times New Roman" w:hAnsi="Times New Roman"/>
                <w:sz w:val="24"/>
                <w:szCs w:val="24"/>
              </w:rPr>
              <w:t>mšanai augstskolās un koledžās</w:t>
            </w:r>
            <w:r w:rsidR="00223B52">
              <w:rPr>
                <w:rFonts w:ascii="Times New Roman" w:hAnsi="Times New Roman"/>
                <w:sz w:val="24"/>
                <w:szCs w:val="24"/>
              </w:rPr>
              <w:t xml:space="preserve"> un noteikt vienotas valodas prasmju pārbaudes prasības </w:t>
            </w:r>
            <w:r w:rsidR="00BE6A9B">
              <w:rPr>
                <w:rFonts w:ascii="Times New Roman" w:hAnsi="Times New Roman"/>
                <w:sz w:val="24"/>
                <w:szCs w:val="24"/>
              </w:rPr>
              <w:t>ārzemniekiem</w:t>
            </w:r>
            <w:r w:rsidR="00F47765">
              <w:rPr>
                <w:rFonts w:ascii="Times New Roman" w:hAnsi="Times New Roman"/>
                <w:sz w:val="24"/>
                <w:szCs w:val="24"/>
              </w:rPr>
              <w:t>.</w:t>
            </w:r>
            <w:r w:rsidR="003E31F2">
              <w:rPr>
                <w:rFonts w:ascii="Times New Roman" w:hAnsi="Times New Roman"/>
                <w:sz w:val="24"/>
                <w:szCs w:val="24"/>
              </w:rPr>
              <w:t xml:space="preserve"> Projekts stā</w:t>
            </w:r>
            <w:r w:rsidR="007127BF">
              <w:rPr>
                <w:rFonts w:ascii="Times New Roman" w:hAnsi="Times New Roman"/>
                <w:sz w:val="24"/>
                <w:szCs w:val="24"/>
              </w:rPr>
              <w:t>sies spēkā 2019.gada 1.janvārī.</w:t>
            </w:r>
          </w:p>
        </w:tc>
      </w:tr>
    </w:tbl>
    <w:p w:rsidR="00CF4535" w:rsidRPr="00EF2D6D" w:rsidRDefault="00CF4535" w:rsidP="00372BDC">
      <w:pPr>
        <w:spacing w:after="0" w:line="240" w:lineRule="auto"/>
        <w:jc w:val="both"/>
        <w:rPr>
          <w:rFonts w:ascii="Times New Roman" w:hAnsi="Times New Roman"/>
          <w:b/>
          <w:sz w:val="24"/>
          <w:szCs w:val="24"/>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18"/>
        <w:gridCol w:w="2835"/>
        <w:gridCol w:w="5988"/>
      </w:tblGrid>
      <w:tr w:rsidR="00AC7447" w:rsidRPr="00BF122F" w:rsidTr="00016138">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b/>
                <w:bCs/>
                <w:sz w:val="24"/>
                <w:szCs w:val="24"/>
              </w:rPr>
              <w:t>I. Tiesību akta projekta izstrādes nepieciešamība</w:t>
            </w:r>
          </w:p>
        </w:tc>
      </w:tr>
      <w:tr w:rsidR="00AC7447" w:rsidRPr="00BF122F" w:rsidTr="007127BF">
        <w:trPr>
          <w:trHeight w:val="405"/>
        </w:trPr>
        <w:tc>
          <w:tcPr>
            <w:tcW w:w="226"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1.</w:t>
            </w:r>
          </w:p>
        </w:tc>
        <w:tc>
          <w:tcPr>
            <w:tcW w:w="1534"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Pamatojums</w:t>
            </w:r>
          </w:p>
        </w:tc>
        <w:tc>
          <w:tcPr>
            <w:tcW w:w="3240" w:type="pct"/>
            <w:tcBorders>
              <w:top w:val="outset" w:sz="6" w:space="0" w:color="414142"/>
              <w:left w:val="outset" w:sz="6" w:space="0" w:color="414142"/>
              <w:bottom w:val="outset" w:sz="6" w:space="0" w:color="414142"/>
              <w:right w:val="outset" w:sz="6" w:space="0" w:color="414142"/>
            </w:tcBorders>
            <w:hideMark/>
          </w:tcPr>
          <w:p w:rsidR="00CF4535" w:rsidRPr="00944652" w:rsidRDefault="00CF4535" w:rsidP="00944652">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Projekts </w:t>
            </w:r>
            <w:r w:rsidR="00340FCC">
              <w:rPr>
                <w:rFonts w:ascii="Times New Roman" w:hAnsi="Times New Roman"/>
                <w:sz w:val="24"/>
                <w:szCs w:val="24"/>
              </w:rPr>
              <w:t>izstrādāts</w:t>
            </w:r>
            <w:r w:rsidR="00050441">
              <w:rPr>
                <w:rFonts w:ascii="Times New Roman" w:hAnsi="Times New Roman"/>
                <w:sz w:val="24"/>
                <w:szCs w:val="24"/>
              </w:rPr>
              <w:t xml:space="preserve"> pēc Izglītības un zinātnes ministrijas iniciatīvas.</w:t>
            </w:r>
          </w:p>
        </w:tc>
      </w:tr>
      <w:tr w:rsidR="00AC7447" w:rsidRPr="00BF122F" w:rsidTr="007127BF">
        <w:trPr>
          <w:trHeight w:val="465"/>
        </w:trPr>
        <w:tc>
          <w:tcPr>
            <w:tcW w:w="226"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2.</w:t>
            </w:r>
          </w:p>
        </w:tc>
        <w:tc>
          <w:tcPr>
            <w:tcW w:w="1534"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Pašreizējā situācija un problēmas, kuru risināšanai tiesību akta projekts izstrādāts, tiesiskā regulējuma mērķis un būtība</w:t>
            </w:r>
          </w:p>
        </w:tc>
        <w:tc>
          <w:tcPr>
            <w:tcW w:w="3240" w:type="pct"/>
            <w:tcBorders>
              <w:top w:val="outset" w:sz="6" w:space="0" w:color="414142"/>
              <w:left w:val="outset" w:sz="6" w:space="0" w:color="414142"/>
              <w:bottom w:val="outset" w:sz="6" w:space="0" w:color="414142"/>
              <w:right w:val="outset" w:sz="6" w:space="0" w:color="414142"/>
            </w:tcBorders>
          </w:tcPr>
          <w:p w:rsidR="00016138" w:rsidRDefault="00ED00CB" w:rsidP="00944AC9">
            <w:pPr>
              <w:spacing w:after="0" w:line="240" w:lineRule="auto"/>
              <w:jc w:val="both"/>
              <w:rPr>
                <w:rFonts w:ascii="Times New Roman" w:hAnsi="Times New Roman"/>
                <w:sz w:val="24"/>
                <w:szCs w:val="24"/>
              </w:rPr>
            </w:pPr>
            <w:r>
              <w:rPr>
                <w:rFonts w:ascii="Times New Roman" w:hAnsi="Times New Roman"/>
                <w:bCs/>
                <w:sz w:val="24"/>
                <w:szCs w:val="24"/>
              </w:rPr>
              <w:t xml:space="preserve">Augstskolu likuma 46.panta otrās daļas otrais teikums nosaka, ka Ministru kabinets izdod noteikumus par prasībām, kritērijiem un kārtību uzņemšanai studiju programmās. Izglītības likuma 9.panta pirmā daļa un Augstskolu likuma 56.panta trešā daļa nosaka, ka valsts dibinātās augstskolās un koledžās studiju programmas īsteno valsts valodā. Vienlaikus Augstskolu likuma 56.panta trešā daļa nosaka gadījumus, kādos var īstenot studiju programmu kādā no Eiropas Savienības oficiālajām valodām, proti, svešvalodā. </w:t>
            </w:r>
            <w:r w:rsidR="00605A85">
              <w:rPr>
                <w:rFonts w:ascii="Times New Roman" w:hAnsi="Times New Roman"/>
                <w:bCs/>
                <w:sz w:val="24"/>
                <w:szCs w:val="24"/>
              </w:rPr>
              <w:t xml:space="preserve"> Saeima 2018.gada 21.jūnijā ir pieņēmusi likumu “Grozījumi Augstskolu likumā”, kas stāsies spēkā 2019.gada 1.janvārī, kurā tiek paredzēts, ka Augstskolu likuma 56.panta trešajā daļā ir noteikts, ka studiju programmas valsts valodā īsteno visas augstskolas un koledžas, proti, neatkarīgi no tās dibinātāja, un attiecīgie izņēmumi par studiju programmas īstenošanas valodu Eiropas Savienības oficiālajās valodās tāpat attieksies uz visām augstskolām un koledžām. Ņemot vērā to, ka studiju programmas var īstenot arī svešvalodā,</w:t>
            </w:r>
            <w:r>
              <w:rPr>
                <w:rFonts w:ascii="Times New Roman" w:hAnsi="Times New Roman"/>
                <w:bCs/>
                <w:sz w:val="24"/>
                <w:szCs w:val="24"/>
              </w:rPr>
              <w:t xml:space="preserve"> </w:t>
            </w:r>
            <w:r w:rsidR="00037902" w:rsidRPr="00037902">
              <w:rPr>
                <w:rFonts w:ascii="Times New Roman" w:hAnsi="Times New Roman"/>
                <w:sz w:val="24"/>
                <w:szCs w:val="24"/>
              </w:rPr>
              <w:t>Augstskolu likuma 83.panta pirmās daļas 3.punkt</w:t>
            </w:r>
            <w:r>
              <w:rPr>
                <w:rFonts w:ascii="Times New Roman" w:hAnsi="Times New Roman"/>
                <w:sz w:val="24"/>
                <w:szCs w:val="24"/>
              </w:rPr>
              <w:t>ā noteikts, ka</w:t>
            </w:r>
            <w:r w:rsidR="00037902" w:rsidRPr="00037902">
              <w:rPr>
                <w:rFonts w:ascii="Times New Roman" w:hAnsi="Times New Roman"/>
                <w:sz w:val="24"/>
                <w:szCs w:val="24"/>
              </w:rPr>
              <w:t xml:space="preserve"> ārzemniekiem ir </w:t>
            </w:r>
            <w:r>
              <w:rPr>
                <w:rFonts w:ascii="Times New Roman" w:hAnsi="Times New Roman"/>
                <w:sz w:val="24"/>
                <w:szCs w:val="24"/>
              </w:rPr>
              <w:t>pietiekami labi jāprot</w:t>
            </w:r>
            <w:r w:rsidR="00037902" w:rsidRPr="00037902">
              <w:rPr>
                <w:rFonts w:ascii="Times New Roman" w:hAnsi="Times New Roman"/>
                <w:sz w:val="24"/>
                <w:szCs w:val="24"/>
              </w:rPr>
              <w:t xml:space="preserve"> studiju programmas īsteno</w:t>
            </w:r>
            <w:r>
              <w:rPr>
                <w:rFonts w:ascii="Times New Roman" w:hAnsi="Times New Roman"/>
                <w:sz w:val="24"/>
                <w:szCs w:val="24"/>
              </w:rPr>
              <w:t>šanas valoda.</w:t>
            </w:r>
            <w:r w:rsidR="00605A85">
              <w:rPr>
                <w:rFonts w:ascii="Times New Roman" w:hAnsi="Times New Roman"/>
                <w:sz w:val="24"/>
                <w:szCs w:val="24"/>
              </w:rPr>
              <w:t xml:space="preserve"> Vienlaikus šāds nosacījums nav noteikts attiecībā uz </w:t>
            </w:r>
            <w:r w:rsidR="00F87681">
              <w:rPr>
                <w:rFonts w:ascii="Times New Roman" w:hAnsi="Times New Roman"/>
                <w:sz w:val="24"/>
                <w:szCs w:val="24"/>
              </w:rPr>
              <w:t>Eiropas Savienība</w:t>
            </w:r>
            <w:r w:rsidR="003E31F2">
              <w:rPr>
                <w:rFonts w:ascii="Times New Roman" w:hAnsi="Times New Roman"/>
                <w:sz w:val="24"/>
                <w:szCs w:val="24"/>
              </w:rPr>
              <w:t>s</w:t>
            </w:r>
            <w:r w:rsidR="00F87681">
              <w:rPr>
                <w:rFonts w:ascii="Times New Roman" w:hAnsi="Times New Roman"/>
                <w:sz w:val="24"/>
                <w:szCs w:val="24"/>
              </w:rPr>
              <w:t xml:space="preserve"> pilsoņiem, kas nav Latvijas pilsoņi, Eiropas Ekonomikas zonas pilsoņiem vai Šveices Konfederācijas pilsoņiem un Eiropas Kopienas pastāvīgajiem iedzīvotājiem, kuriem ir derīga uzturēšanas </w:t>
            </w:r>
            <w:r w:rsidR="00A65208">
              <w:rPr>
                <w:rFonts w:ascii="Times New Roman" w:hAnsi="Times New Roman"/>
                <w:sz w:val="24"/>
                <w:szCs w:val="24"/>
              </w:rPr>
              <w:t>atļauja, taču jebkuram ārzemniekam</w:t>
            </w:r>
            <w:r w:rsidR="00F87681">
              <w:rPr>
                <w:rFonts w:ascii="Times New Roman" w:hAnsi="Times New Roman"/>
                <w:sz w:val="24"/>
                <w:szCs w:val="24"/>
              </w:rPr>
              <w:t xml:space="preserve"> būtu jāpierāda tās valodas prasmes, kādā notiks studijas studiju programmā, kurā tas vēlas studēt.</w:t>
            </w:r>
            <w:r w:rsidR="00944AC9">
              <w:rPr>
                <w:rFonts w:ascii="Times New Roman" w:hAnsi="Times New Roman"/>
                <w:sz w:val="24"/>
                <w:szCs w:val="24"/>
              </w:rPr>
              <w:t xml:space="preserve"> </w:t>
            </w:r>
            <w:r w:rsidR="00A65208">
              <w:rPr>
                <w:rFonts w:ascii="Times New Roman" w:hAnsi="Times New Roman"/>
                <w:sz w:val="24"/>
                <w:szCs w:val="24"/>
              </w:rPr>
              <w:t xml:space="preserve">Vienlaikus ņemot vērā to, ka Latvijas pilsoņi un Latvijas nepilsoņi kārto centralizēto eksāmenu </w:t>
            </w:r>
            <w:r w:rsidR="00A65208" w:rsidRPr="00A65208">
              <w:rPr>
                <w:rFonts w:ascii="Times New Roman" w:hAnsi="Times New Roman"/>
                <w:sz w:val="24"/>
                <w:szCs w:val="24"/>
              </w:rPr>
              <w:t>vienā svešvalodā pēc izglītojamā izvēles</w:t>
            </w:r>
            <w:r w:rsidR="007127BF">
              <w:rPr>
                <w:rFonts w:ascii="Times New Roman" w:hAnsi="Times New Roman"/>
                <w:sz w:val="24"/>
                <w:szCs w:val="24"/>
              </w:rPr>
              <w:t>, kuras apguves līmeni</w:t>
            </w:r>
            <w:r w:rsidR="00A65208">
              <w:rPr>
                <w:rFonts w:ascii="Times New Roman" w:hAnsi="Times New Roman"/>
                <w:sz w:val="24"/>
                <w:szCs w:val="24"/>
              </w:rPr>
              <w:t xml:space="preserve"> apliecina sertifikāts ar vērtējumu, tad Latvijas pilsonim un Latvijas nepilsonim </w:t>
            </w:r>
            <w:r w:rsidR="00A65208">
              <w:rPr>
                <w:rFonts w:ascii="Times New Roman" w:hAnsi="Times New Roman"/>
                <w:sz w:val="24"/>
                <w:szCs w:val="24"/>
              </w:rPr>
              <w:lastRenderedPageBreak/>
              <w:t>svešvalodas zināšanas prasmi var apliecināt centralizēt</w:t>
            </w:r>
            <w:r w:rsidR="00726247">
              <w:rPr>
                <w:rFonts w:ascii="Times New Roman" w:hAnsi="Times New Roman"/>
                <w:sz w:val="24"/>
                <w:szCs w:val="24"/>
              </w:rPr>
              <w:t>ā eksāmena svešvalodā rezultāts, tāpēc Latvijas pilsoņiem un Latvijas nepilsoņiem nav noteikta obligāta prasība iesniegt sertifikātu, kas apliecina studiju programmas īstenošanas valodas prasmes. Vienlaikus augstskolas un koledžas šādu prasību ir tiesīgas noteikt. Savukārt l</w:t>
            </w:r>
            <w:r w:rsidR="00037902" w:rsidRPr="00037902">
              <w:rPr>
                <w:rFonts w:ascii="Times New Roman" w:hAnsi="Times New Roman"/>
                <w:sz w:val="24"/>
                <w:szCs w:val="24"/>
              </w:rPr>
              <w:t>ai nodrošinātu, ka visām augstskolām un koledžām ir vienota pieeja</w:t>
            </w:r>
            <w:r w:rsidR="00A65208">
              <w:rPr>
                <w:rFonts w:ascii="Times New Roman" w:hAnsi="Times New Roman"/>
                <w:sz w:val="24"/>
                <w:szCs w:val="24"/>
              </w:rPr>
              <w:t xml:space="preserve"> ārzemnieku</w:t>
            </w:r>
            <w:r w:rsidR="00A018BD">
              <w:rPr>
                <w:rFonts w:ascii="Times New Roman" w:hAnsi="Times New Roman"/>
                <w:sz w:val="24"/>
                <w:szCs w:val="24"/>
              </w:rPr>
              <w:t xml:space="preserve"> svešvalodu zināšanu pārbaudē</w:t>
            </w:r>
            <w:r w:rsidR="00037902" w:rsidRPr="00037902">
              <w:rPr>
                <w:rFonts w:ascii="Times New Roman" w:hAnsi="Times New Roman"/>
                <w:sz w:val="24"/>
                <w:szCs w:val="24"/>
              </w:rPr>
              <w:t>, projekt</w:t>
            </w:r>
            <w:r w:rsidR="00944AC9">
              <w:rPr>
                <w:rFonts w:ascii="Times New Roman" w:hAnsi="Times New Roman"/>
                <w:sz w:val="24"/>
                <w:szCs w:val="24"/>
              </w:rPr>
              <w:t>a 1.</w:t>
            </w:r>
            <w:r w:rsidR="002B6B11">
              <w:rPr>
                <w:rFonts w:ascii="Times New Roman" w:hAnsi="Times New Roman"/>
                <w:sz w:val="24"/>
                <w:szCs w:val="24"/>
              </w:rPr>
              <w:t>1.apakš</w:t>
            </w:r>
            <w:r w:rsidR="00944AC9">
              <w:rPr>
                <w:rFonts w:ascii="Times New Roman" w:hAnsi="Times New Roman"/>
                <w:sz w:val="24"/>
                <w:szCs w:val="24"/>
              </w:rPr>
              <w:t>punktā</w:t>
            </w:r>
            <w:r w:rsidR="00037902" w:rsidRPr="00037902">
              <w:rPr>
                <w:rFonts w:ascii="Times New Roman" w:hAnsi="Times New Roman"/>
                <w:sz w:val="24"/>
                <w:szCs w:val="24"/>
              </w:rPr>
              <w:t xml:space="preserve"> ietverts ārzemnieka pienākums i</w:t>
            </w:r>
            <w:r w:rsidR="00944AC9">
              <w:rPr>
                <w:rFonts w:ascii="Times New Roman" w:hAnsi="Times New Roman"/>
                <w:sz w:val="24"/>
                <w:szCs w:val="24"/>
              </w:rPr>
              <w:t>esniegt starptautiskas testēšanas institūcijas izsniegtu studiju programmas īstenošanas valodas prasmi apliecinošu dokumentu, kas apliecina ārzemnieka attiecīgās svešvalodas prasmi vismaz B2 līmenī.</w:t>
            </w:r>
            <w:r w:rsidR="00F47765">
              <w:rPr>
                <w:rFonts w:ascii="Times New Roman" w:hAnsi="Times New Roman"/>
                <w:sz w:val="24"/>
                <w:szCs w:val="24"/>
              </w:rPr>
              <w:t xml:space="preserve"> </w:t>
            </w:r>
            <w:r w:rsidR="004A3201">
              <w:rPr>
                <w:rFonts w:ascii="Times New Roman" w:hAnsi="Times New Roman"/>
                <w:sz w:val="24"/>
                <w:szCs w:val="24"/>
              </w:rPr>
              <w:t xml:space="preserve">Starptautiskā testēšanas institūcija saskaņā ar Vispārējās izglītības likuma 1.panta otrās daļas 15.punktā noteikto ir </w:t>
            </w:r>
            <w:r w:rsidR="004A3201" w:rsidRPr="004A3201">
              <w:rPr>
                <w:rFonts w:ascii="Times New Roman" w:hAnsi="Times New Roman"/>
                <w:sz w:val="24"/>
                <w:szCs w:val="24"/>
              </w:rPr>
              <w:t xml:space="preserve"> institūcija, kas nodrošina pārbaudījumu svešvalodā un izsniedz dokumentu par pārbaudījuma rezultātiem, kuri pielīdzināti Eiropas kopīgajās pamatnostādnēs valodu apguvei</w:t>
            </w:r>
            <w:r w:rsidR="00016138">
              <w:rPr>
                <w:rFonts w:ascii="Times New Roman" w:hAnsi="Times New Roman"/>
                <w:sz w:val="24"/>
                <w:szCs w:val="24"/>
              </w:rPr>
              <w:t xml:space="preserve"> (</w:t>
            </w:r>
            <w:r w:rsidR="00016138" w:rsidRPr="00016138">
              <w:rPr>
                <w:rFonts w:ascii="Times New Roman" w:hAnsi="Times New Roman"/>
                <w:sz w:val="24"/>
                <w:szCs w:val="24"/>
              </w:rPr>
              <w:t xml:space="preserve">The Common European Framework of Reference for Languages </w:t>
            </w:r>
            <w:r w:rsidR="00016138">
              <w:rPr>
                <w:rFonts w:ascii="Times New Roman" w:hAnsi="Times New Roman"/>
                <w:sz w:val="24"/>
                <w:szCs w:val="24"/>
              </w:rPr>
              <w:t>(CEFR))</w:t>
            </w:r>
            <w:r w:rsidR="004A3201" w:rsidRPr="004A3201">
              <w:rPr>
                <w:rFonts w:ascii="Times New Roman" w:hAnsi="Times New Roman"/>
                <w:sz w:val="24"/>
                <w:szCs w:val="24"/>
              </w:rPr>
              <w:t xml:space="preserve"> noteiktajiem valodas prasmes līmeņiem</w:t>
            </w:r>
            <w:r w:rsidR="004A3201">
              <w:rPr>
                <w:rFonts w:ascii="Times New Roman" w:hAnsi="Times New Roman"/>
                <w:sz w:val="24"/>
                <w:szCs w:val="24"/>
              </w:rPr>
              <w:t xml:space="preserve">. </w:t>
            </w:r>
            <w:r w:rsidR="00F47765">
              <w:rPr>
                <w:rFonts w:ascii="Times New Roman" w:hAnsi="Times New Roman"/>
                <w:sz w:val="24"/>
                <w:szCs w:val="24"/>
              </w:rPr>
              <w:t>B2 prasmju līmenis projekta kontekstā atbilst Eiropas kopīgajās pamatnostādnēs</w:t>
            </w:r>
            <w:r w:rsidR="00F47765" w:rsidRPr="00F47765">
              <w:rPr>
                <w:rFonts w:ascii="Times New Roman" w:hAnsi="Times New Roman"/>
                <w:sz w:val="24"/>
                <w:szCs w:val="24"/>
              </w:rPr>
              <w:t xml:space="preserve"> valodu apguvei</w:t>
            </w:r>
            <w:r w:rsidR="00F47765">
              <w:rPr>
                <w:rFonts w:ascii="Times New Roman" w:hAnsi="Times New Roman"/>
                <w:sz w:val="24"/>
                <w:szCs w:val="24"/>
              </w:rPr>
              <w:t xml:space="preserve"> (</w:t>
            </w:r>
            <w:hyperlink r:id="rId7" w:history="1">
              <w:r w:rsidR="00016138" w:rsidRPr="0053768A">
                <w:rPr>
                  <w:rStyle w:val="Hyperlink"/>
                  <w:rFonts w:ascii="Times New Roman" w:hAnsi="Times New Roman"/>
                  <w:sz w:val="24"/>
                  <w:szCs w:val="24"/>
                </w:rPr>
                <w:t>https://europass.cedefop.europa.eu/sites/default/files/ cefr-en.pdf</w:t>
              </w:r>
            </w:hyperlink>
            <w:r w:rsidR="00F47765">
              <w:rPr>
                <w:rFonts w:ascii="Times New Roman" w:hAnsi="Times New Roman"/>
                <w:sz w:val="24"/>
                <w:szCs w:val="24"/>
              </w:rPr>
              <w:t xml:space="preserve">) noteiktajam B2 līmenim. </w:t>
            </w:r>
            <w:r w:rsidR="00223B52">
              <w:rPr>
                <w:rFonts w:ascii="Times New Roman" w:hAnsi="Times New Roman"/>
                <w:sz w:val="24"/>
                <w:szCs w:val="24"/>
              </w:rPr>
              <w:t>Minētajos dokumento</w:t>
            </w:r>
            <w:r w:rsidR="001334E1">
              <w:rPr>
                <w:rFonts w:ascii="Times New Roman" w:hAnsi="Times New Roman"/>
                <w:sz w:val="24"/>
                <w:szCs w:val="24"/>
              </w:rPr>
              <w:t xml:space="preserve">s var arī nebūt norāde uz to, ka personas svešvalodas prasme ir B2 līmenī, taču šajos dokumentos ietverto prasmju līmenis ir salīdzināms, līdz ar to būs iespējams </w:t>
            </w:r>
            <w:r w:rsidR="004A3201">
              <w:rPr>
                <w:rFonts w:ascii="Times New Roman" w:hAnsi="Times New Roman"/>
                <w:sz w:val="24"/>
                <w:szCs w:val="24"/>
              </w:rPr>
              <w:t>salīdzināt</w:t>
            </w:r>
            <w:r w:rsidR="001334E1">
              <w:rPr>
                <w:rFonts w:ascii="Times New Roman" w:hAnsi="Times New Roman"/>
                <w:sz w:val="24"/>
                <w:szCs w:val="24"/>
              </w:rPr>
              <w:t>, vai personas prasmju līmen</w:t>
            </w:r>
            <w:r w:rsidR="004A3201">
              <w:rPr>
                <w:rFonts w:ascii="Times New Roman" w:hAnsi="Times New Roman"/>
                <w:sz w:val="24"/>
                <w:szCs w:val="24"/>
              </w:rPr>
              <w:t>is atbilst vismaz B2 līmenim</w:t>
            </w:r>
            <w:r w:rsidR="002B777B">
              <w:rPr>
                <w:rFonts w:ascii="Times New Roman" w:hAnsi="Times New Roman"/>
                <w:sz w:val="24"/>
                <w:szCs w:val="24"/>
              </w:rPr>
              <w:t xml:space="preserve"> (salīdzināšanai var izmantot, piemēram, šādus informācijas avotus: </w:t>
            </w:r>
          </w:p>
          <w:p w:rsidR="00016138" w:rsidRDefault="00016138" w:rsidP="00944AC9">
            <w:pPr>
              <w:spacing w:after="0" w:line="240" w:lineRule="auto"/>
              <w:jc w:val="both"/>
              <w:rPr>
                <w:rFonts w:ascii="Times New Roman" w:hAnsi="Times New Roman"/>
                <w:sz w:val="24"/>
                <w:szCs w:val="24"/>
              </w:rPr>
            </w:pPr>
            <w:r>
              <w:rPr>
                <w:rFonts w:ascii="Times New Roman" w:hAnsi="Times New Roman"/>
                <w:sz w:val="24"/>
                <w:szCs w:val="24"/>
              </w:rPr>
              <w:t xml:space="preserve">1) </w:t>
            </w:r>
            <w:hyperlink r:id="rId8" w:history="1">
              <w:r w:rsidR="002B777B" w:rsidRPr="0053768A">
                <w:rPr>
                  <w:rStyle w:val="Hyperlink"/>
                  <w:rFonts w:ascii="Times New Roman" w:hAnsi="Times New Roman"/>
                  <w:sz w:val="24"/>
                  <w:szCs w:val="24"/>
                </w:rPr>
                <w:t>https://www.nacel.org/compare-english-language-test-scores</w:t>
              </w:r>
            </w:hyperlink>
            <w:r>
              <w:rPr>
                <w:rFonts w:ascii="Times New Roman" w:hAnsi="Times New Roman"/>
                <w:sz w:val="24"/>
                <w:szCs w:val="24"/>
              </w:rPr>
              <w:t>;</w:t>
            </w:r>
          </w:p>
          <w:p w:rsidR="00016138" w:rsidRDefault="00016138" w:rsidP="00944AC9">
            <w:pPr>
              <w:spacing w:after="0" w:line="240" w:lineRule="auto"/>
              <w:jc w:val="both"/>
              <w:rPr>
                <w:rFonts w:ascii="Times New Roman" w:hAnsi="Times New Roman"/>
                <w:sz w:val="24"/>
                <w:szCs w:val="24"/>
              </w:rPr>
            </w:pPr>
            <w:r>
              <w:rPr>
                <w:rFonts w:ascii="Times New Roman" w:hAnsi="Times New Roman"/>
                <w:sz w:val="24"/>
                <w:szCs w:val="24"/>
              </w:rPr>
              <w:t xml:space="preserve">2) </w:t>
            </w:r>
            <w:hyperlink r:id="rId9" w:history="1">
              <w:r w:rsidRPr="0053768A">
                <w:rPr>
                  <w:rStyle w:val="Hyperlink"/>
                  <w:rFonts w:ascii="Times New Roman" w:hAnsi="Times New Roman"/>
                  <w:sz w:val="24"/>
                  <w:szCs w:val="24"/>
                </w:rPr>
                <w:t>https://engexam.info/ielts/</w:t>
              </w:r>
            </w:hyperlink>
            <w:r>
              <w:rPr>
                <w:rFonts w:ascii="Times New Roman" w:hAnsi="Times New Roman"/>
                <w:sz w:val="24"/>
                <w:szCs w:val="24"/>
              </w:rPr>
              <w:t>;</w:t>
            </w:r>
          </w:p>
          <w:p w:rsidR="00016138" w:rsidRDefault="00016138" w:rsidP="00944AC9">
            <w:pPr>
              <w:spacing w:after="0" w:line="240" w:lineRule="auto"/>
              <w:jc w:val="both"/>
              <w:rPr>
                <w:rFonts w:ascii="Times New Roman" w:hAnsi="Times New Roman"/>
                <w:sz w:val="24"/>
                <w:szCs w:val="24"/>
              </w:rPr>
            </w:pPr>
            <w:r>
              <w:rPr>
                <w:rFonts w:ascii="Times New Roman" w:hAnsi="Times New Roman"/>
                <w:sz w:val="24"/>
                <w:szCs w:val="24"/>
              </w:rPr>
              <w:t xml:space="preserve">3) </w:t>
            </w:r>
            <w:hyperlink r:id="rId10" w:history="1">
              <w:r w:rsidRPr="0053768A">
                <w:rPr>
                  <w:rStyle w:val="Hyperlink"/>
                  <w:rFonts w:ascii="Times New Roman" w:hAnsi="Times New Roman"/>
                  <w:sz w:val="24"/>
                  <w:szCs w:val="24"/>
                </w:rPr>
                <w:t>http://2.bp.blogspot.com/-QeBUZTKQhfs/UtbzDQdfePI/ AAAAAAAAGfk/0a5fjncl7to/s1600/TOEFL+Equivalency+Table.jpg</w:t>
              </w:r>
            </w:hyperlink>
            <w:r>
              <w:rPr>
                <w:rFonts w:ascii="Times New Roman" w:hAnsi="Times New Roman"/>
                <w:sz w:val="24"/>
                <w:szCs w:val="24"/>
              </w:rPr>
              <w:t>;</w:t>
            </w:r>
          </w:p>
          <w:p w:rsidR="00016138" w:rsidRDefault="00016138" w:rsidP="00944AC9">
            <w:pPr>
              <w:spacing w:after="0" w:line="240" w:lineRule="auto"/>
              <w:jc w:val="both"/>
              <w:rPr>
                <w:rFonts w:ascii="Times New Roman" w:hAnsi="Times New Roman"/>
                <w:sz w:val="24"/>
                <w:szCs w:val="24"/>
              </w:rPr>
            </w:pPr>
            <w:r>
              <w:rPr>
                <w:rFonts w:ascii="Times New Roman" w:hAnsi="Times New Roman"/>
                <w:sz w:val="24"/>
                <w:szCs w:val="24"/>
              </w:rPr>
              <w:t xml:space="preserve">4) </w:t>
            </w:r>
            <w:hyperlink r:id="rId11" w:history="1">
              <w:r w:rsidRPr="0053768A">
                <w:rPr>
                  <w:rStyle w:val="Hyperlink"/>
                  <w:rFonts w:ascii="Times New Roman" w:hAnsi="Times New Roman"/>
                  <w:sz w:val="24"/>
                  <w:szCs w:val="24"/>
                </w:rPr>
                <w:t>http://2.bp.blogspot.com/-NUdfsmprgyw/UtbzQ9gVByI/ AAAAAAAAGfs/DdCqrMzECRw/s1600/Comparison+of+CEF+levels+and+scores+for+the+various+exams.jpg</w:t>
              </w:r>
            </w:hyperlink>
            <w:r>
              <w:rPr>
                <w:rFonts w:ascii="Times New Roman" w:hAnsi="Times New Roman"/>
                <w:sz w:val="24"/>
                <w:szCs w:val="24"/>
              </w:rPr>
              <w:t>;</w:t>
            </w:r>
          </w:p>
          <w:p w:rsidR="00282138" w:rsidRDefault="00016138" w:rsidP="00944AC9">
            <w:pPr>
              <w:spacing w:after="0" w:line="240" w:lineRule="auto"/>
              <w:jc w:val="both"/>
              <w:rPr>
                <w:rFonts w:ascii="Times New Roman" w:hAnsi="Times New Roman"/>
                <w:sz w:val="24"/>
                <w:szCs w:val="24"/>
              </w:rPr>
            </w:pPr>
            <w:r>
              <w:rPr>
                <w:rFonts w:ascii="Times New Roman" w:hAnsi="Times New Roman"/>
                <w:sz w:val="24"/>
                <w:szCs w:val="24"/>
              </w:rPr>
              <w:t>5)</w:t>
            </w:r>
            <w:r w:rsidR="00282138">
              <w:t xml:space="preserve"> </w:t>
            </w:r>
            <w:hyperlink r:id="rId12" w:history="1">
              <w:r w:rsidR="00282138" w:rsidRPr="0053768A">
                <w:rPr>
                  <w:rStyle w:val="Hyperlink"/>
                  <w:rFonts w:ascii="Times New Roman" w:hAnsi="Times New Roman"/>
                  <w:sz w:val="24"/>
                  <w:szCs w:val="24"/>
                </w:rPr>
                <w:t>https://www.efset.org/english-score/</w:t>
              </w:r>
            </w:hyperlink>
            <w:r w:rsidR="001334E1">
              <w:rPr>
                <w:rFonts w:ascii="Times New Roman" w:hAnsi="Times New Roman"/>
                <w:sz w:val="24"/>
                <w:szCs w:val="24"/>
              </w:rPr>
              <w:t>.</w:t>
            </w:r>
            <w:r w:rsidR="00726247">
              <w:rPr>
                <w:rFonts w:ascii="Times New Roman" w:hAnsi="Times New Roman"/>
                <w:sz w:val="24"/>
                <w:szCs w:val="24"/>
              </w:rPr>
              <w:t>)</w:t>
            </w:r>
          </w:p>
          <w:p w:rsidR="002B6B11" w:rsidRDefault="00944AC9" w:rsidP="004A0083">
            <w:pPr>
              <w:spacing w:after="0" w:line="240" w:lineRule="auto"/>
              <w:jc w:val="both"/>
              <w:rPr>
                <w:rFonts w:ascii="Times New Roman" w:hAnsi="Times New Roman"/>
                <w:sz w:val="24"/>
                <w:szCs w:val="24"/>
              </w:rPr>
            </w:pPr>
            <w:r>
              <w:rPr>
                <w:rFonts w:ascii="Times New Roman" w:hAnsi="Times New Roman"/>
                <w:sz w:val="24"/>
                <w:szCs w:val="24"/>
              </w:rPr>
              <w:t xml:space="preserve">Šobrīd </w:t>
            </w:r>
            <w:r w:rsidR="004A0083">
              <w:rPr>
                <w:rFonts w:ascii="Times New Roman" w:hAnsi="Times New Roman"/>
                <w:sz w:val="24"/>
                <w:szCs w:val="24"/>
              </w:rPr>
              <w:t>saskaņā ar Akadēmiskās informācijas centra izstrādātajām S</w:t>
            </w:r>
            <w:r w:rsidR="004A0083" w:rsidRPr="004A0083">
              <w:rPr>
                <w:rFonts w:ascii="Times New Roman" w:hAnsi="Times New Roman"/>
                <w:sz w:val="24"/>
                <w:szCs w:val="24"/>
              </w:rPr>
              <w:t>tudiju p</w:t>
            </w:r>
            <w:r w:rsidR="004A0083">
              <w:rPr>
                <w:rFonts w:ascii="Times New Roman" w:hAnsi="Times New Roman"/>
                <w:sz w:val="24"/>
                <w:szCs w:val="24"/>
              </w:rPr>
              <w:t xml:space="preserve">rogrammas novērtēšanas ekspertu </w:t>
            </w:r>
            <w:r w:rsidR="004A0083" w:rsidRPr="004A0083">
              <w:rPr>
                <w:rFonts w:ascii="Times New Roman" w:hAnsi="Times New Roman"/>
                <w:sz w:val="24"/>
                <w:szCs w:val="24"/>
              </w:rPr>
              <w:t>kopī</w:t>
            </w:r>
            <w:r w:rsidR="004A0083">
              <w:rPr>
                <w:rFonts w:ascii="Times New Roman" w:hAnsi="Times New Roman"/>
                <w:sz w:val="24"/>
                <w:szCs w:val="24"/>
              </w:rPr>
              <w:t xml:space="preserve">gā atzinuma izstrādes vadlīnijām </w:t>
            </w:r>
            <w:r>
              <w:rPr>
                <w:rFonts w:ascii="Times New Roman" w:hAnsi="Times New Roman"/>
                <w:sz w:val="24"/>
                <w:szCs w:val="24"/>
              </w:rPr>
              <w:t xml:space="preserve">augstskolu un koledžu akadēmiskajam personālam, ja tas ir iesaistīts tādas studiju programmas īstenošanā, kas tiek īstenota svešvalodā, tiek prasīts prast </w:t>
            </w:r>
            <w:r w:rsidR="00733C65">
              <w:rPr>
                <w:rFonts w:ascii="Times New Roman" w:hAnsi="Times New Roman"/>
                <w:sz w:val="24"/>
                <w:szCs w:val="24"/>
              </w:rPr>
              <w:t>attiecīgo sveš</w:t>
            </w:r>
            <w:r>
              <w:rPr>
                <w:rFonts w:ascii="Times New Roman" w:hAnsi="Times New Roman"/>
                <w:sz w:val="24"/>
                <w:szCs w:val="24"/>
              </w:rPr>
              <w:t xml:space="preserve">valodu vismaz B2 līmenī. </w:t>
            </w:r>
            <w:r w:rsidR="004A0083">
              <w:rPr>
                <w:rFonts w:ascii="Times New Roman" w:hAnsi="Times New Roman"/>
                <w:sz w:val="24"/>
                <w:szCs w:val="24"/>
              </w:rPr>
              <w:t xml:space="preserve">Savukārt saskaņā ar </w:t>
            </w:r>
            <w:r w:rsidR="004A0083" w:rsidRPr="004A0083">
              <w:rPr>
                <w:rFonts w:ascii="Times New Roman" w:hAnsi="Times New Roman"/>
                <w:sz w:val="24"/>
                <w:szCs w:val="24"/>
              </w:rPr>
              <w:t xml:space="preserve">Ministru kabineta noteikumu projektā par </w:t>
            </w:r>
            <w:r w:rsidR="004A0083">
              <w:rPr>
                <w:rFonts w:ascii="Times New Roman" w:hAnsi="Times New Roman"/>
                <w:sz w:val="24"/>
                <w:szCs w:val="24"/>
              </w:rPr>
              <w:t>studiju programmu licencēšanu</w:t>
            </w:r>
            <w:r w:rsidR="004A0083" w:rsidRPr="004A0083">
              <w:rPr>
                <w:rFonts w:ascii="Times New Roman" w:hAnsi="Times New Roman"/>
                <w:sz w:val="24"/>
                <w:szCs w:val="24"/>
              </w:rPr>
              <w:t>, kas izstrādāts un izsludināts valsts sekretāru sanāksmē vienlaicīgi ar projektu</w:t>
            </w:r>
            <w:r w:rsidR="004A0083">
              <w:rPr>
                <w:rFonts w:ascii="Times New Roman" w:hAnsi="Times New Roman"/>
                <w:sz w:val="24"/>
                <w:szCs w:val="24"/>
              </w:rPr>
              <w:t>, noteikto iesniegumam par studiju programmas licencēšanu būs jāpievieno institūcijas</w:t>
            </w:r>
            <w:r w:rsidR="004A0083" w:rsidRPr="004A0083">
              <w:rPr>
                <w:rFonts w:ascii="Times New Roman" w:hAnsi="Times New Roman"/>
                <w:sz w:val="24"/>
                <w:szCs w:val="24"/>
              </w:rPr>
              <w:t xml:space="preserve">, kas veica valodas prasmes pārbaudi, </w:t>
            </w:r>
            <w:r w:rsidR="004A0083" w:rsidRPr="004A0083">
              <w:rPr>
                <w:rFonts w:ascii="Times New Roman" w:hAnsi="Times New Roman"/>
                <w:sz w:val="24"/>
                <w:szCs w:val="24"/>
              </w:rPr>
              <w:lastRenderedPageBreak/>
              <w:t>apliecinājumus par studiju programmas īstenošanā iesaistāmo mācībspēku attiecīgo svešvalodu prasmi vismaz B2 līmenī, ja studiju programmu vai tās da</w:t>
            </w:r>
            <w:r w:rsidR="004A0083">
              <w:rPr>
                <w:rFonts w:ascii="Times New Roman" w:hAnsi="Times New Roman"/>
                <w:sz w:val="24"/>
                <w:szCs w:val="24"/>
              </w:rPr>
              <w:t>ļu paredzēts īstenot svešvalodā.</w:t>
            </w:r>
            <w:r w:rsidR="00733C65">
              <w:rPr>
                <w:rFonts w:ascii="Times New Roman" w:hAnsi="Times New Roman"/>
                <w:sz w:val="24"/>
                <w:szCs w:val="24"/>
              </w:rPr>
              <w:t xml:space="preserve"> Saskaņā ar M</w:t>
            </w:r>
            <w:r w:rsidR="007A434A">
              <w:rPr>
                <w:rFonts w:ascii="Times New Roman" w:hAnsi="Times New Roman"/>
                <w:sz w:val="24"/>
                <w:szCs w:val="24"/>
              </w:rPr>
              <w:t>inistru kabineta 2009.gada 7.jū</w:t>
            </w:r>
            <w:r w:rsidR="00733C65">
              <w:rPr>
                <w:rFonts w:ascii="Times New Roman" w:hAnsi="Times New Roman"/>
                <w:sz w:val="24"/>
                <w:szCs w:val="24"/>
              </w:rPr>
              <w:t>lija noteikumos Nr.733 “</w:t>
            </w:r>
            <w:r w:rsidR="00733C65" w:rsidRPr="00733C65">
              <w:rPr>
                <w:rFonts w:ascii="Times New Roman" w:hAnsi="Times New Roman"/>
                <w:sz w:val="24"/>
                <w:szCs w:val="24"/>
              </w:rPr>
              <w:t>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w:t>
            </w:r>
            <w:r w:rsidR="00733C65">
              <w:rPr>
                <w:rFonts w:ascii="Times New Roman" w:hAnsi="Times New Roman"/>
                <w:sz w:val="24"/>
                <w:szCs w:val="24"/>
              </w:rPr>
              <w:t>” noteikto valsts valodas prasme B2 līmenī</w:t>
            </w:r>
            <w:r w:rsidR="004A0083" w:rsidRPr="004A0083">
              <w:rPr>
                <w:rFonts w:ascii="Times New Roman" w:hAnsi="Times New Roman"/>
                <w:sz w:val="24"/>
                <w:szCs w:val="24"/>
              </w:rPr>
              <w:t xml:space="preserve"> </w:t>
            </w:r>
            <w:r w:rsidR="00733C65">
              <w:rPr>
                <w:rFonts w:ascii="Times New Roman" w:hAnsi="Times New Roman"/>
                <w:sz w:val="24"/>
                <w:szCs w:val="24"/>
              </w:rPr>
              <w:t xml:space="preserve">nozīmē, ka </w:t>
            </w:r>
            <w:r w:rsidR="00733C65" w:rsidRPr="00733C65">
              <w:rPr>
                <w:rFonts w:ascii="Times New Roman" w:hAnsi="Times New Roman"/>
                <w:sz w:val="24"/>
                <w:szCs w:val="24"/>
              </w:rPr>
              <w:t>persona spēj sarunāties par sadzīves un profesionāliem jautājumiem, skaidri formulēt un pamatot savu viedokli, lasa un saprot dažāda satura tekstus, spēj uzrakstīt darbam nepieciešamos dokumentus (piemēram, izziņas, pārskatus, protokolus, ziņojumus, aktus), kā arī izvērstus tekstus par sadzīves un profesionālām tēmām, uztver un saprot dabiskā tempā ru</w:t>
            </w:r>
            <w:r w:rsidR="00733C65">
              <w:rPr>
                <w:rFonts w:ascii="Times New Roman" w:hAnsi="Times New Roman"/>
                <w:sz w:val="24"/>
                <w:szCs w:val="24"/>
              </w:rPr>
              <w:t>nātus tekstus par dažādām tēmām. Šāds skaidrojums būtu attiecināms arī uz svešvalodu prasmēm.</w:t>
            </w:r>
            <w:r w:rsidR="00CA7623">
              <w:rPr>
                <w:rFonts w:ascii="Times New Roman" w:hAnsi="Times New Roman"/>
                <w:sz w:val="24"/>
                <w:szCs w:val="24"/>
              </w:rPr>
              <w:t xml:space="preserve"> </w:t>
            </w:r>
            <w:r w:rsidR="008C1763" w:rsidRPr="00134467">
              <w:rPr>
                <w:rFonts w:ascii="Times New Roman" w:hAnsi="Times New Roman"/>
                <w:sz w:val="24"/>
                <w:szCs w:val="24"/>
              </w:rPr>
              <w:t xml:space="preserve">Studētgribētājiem ir jānosaka tāds valodas prasmju līmenis, lai tas spētu apgūt attiecīgo studiju programmu. </w:t>
            </w:r>
            <w:r w:rsidR="00CA7623" w:rsidRPr="00134467">
              <w:rPr>
                <w:rFonts w:ascii="Times New Roman" w:hAnsi="Times New Roman"/>
                <w:sz w:val="24"/>
                <w:szCs w:val="24"/>
              </w:rPr>
              <w:t xml:space="preserve">Ņemot vērā to, ka B2 līmenis ir vidējais līmenis, kas liecina par sapratnes, runāšanas un rakstīšanas prasmēm </w:t>
            </w:r>
            <w:r w:rsidR="008C1763" w:rsidRPr="00134467">
              <w:rPr>
                <w:rFonts w:ascii="Times New Roman" w:hAnsi="Times New Roman"/>
                <w:sz w:val="24"/>
                <w:szCs w:val="24"/>
              </w:rPr>
              <w:t>tādā līmenī, kas ļaus veiksmīgi studēt</w:t>
            </w:r>
            <w:r w:rsidR="00CA7623" w:rsidRPr="00134467">
              <w:rPr>
                <w:rFonts w:ascii="Times New Roman" w:hAnsi="Times New Roman"/>
                <w:sz w:val="24"/>
                <w:szCs w:val="24"/>
              </w:rPr>
              <w:t xml:space="preserve">, </w:t>
            </w:r>
            <w:r w:rsidRPr="00134467">
              <w:rPr>
                <w:rFonts w:ascii="Times New Roman" w:hAnsi="Times New Roman"/>
                <w:sz w:val="24"/>
                <w:szCs w:val="24"/>
              </w:rPr>
              <w:t xml:space="preserve">ir samērīgi prasīt </w:t>
            </w:r>
            <w:r w:rsidR="00CA7623" w:rsidRPr="00134467">
              <w:rPr>
                <w:rFonts w:ascii="Times New Roman" w:hAnsi="Times New Roman"/>
                <w:sz w:val="24"/>
                <w:szCs w:val="24"/>
              </w:rPr>
              <w:t xml:space="preserve">šādu līmeni </w:t>
            </w:r>
            <w:r w:rsidRPr="00134467">
              <w:rPr>
                <w:rFonts w:ascii="Times New Roman" w:hAnsi="Times New Roman"/>
                <w:sz w:val="24"/>
                <w:szCs w:val="24"/>
              </w:rPr>
              <w:t>no studētgribētājiem.</w:t>
            </w:r>
            <w:r w:rsidR="002B6B11" w:rsidRPr="00134467">
              <w:rPr>
                <w:rFonts w:ascii="Times New Roman" w:hAnsi="Times New Roman"/>
                <w:sz w:val="24"/>
                <w:szCs w:val="24"/>
              </w:rPr>
              <w:t xml:space="preserve"> </w:t>
            </w:r>
            <w:r w:rsidR="002B6B11">
              <w:rPr>
                <w:rFonts w:ascii="Times New Roman" w:hAnsi="Times New Roman"/>
                <w:sz w:val="24"/>
                <w:szCs w:val="24"/>
              </w:rPr>
              <w:t>Ņemot vērā to, ka šī prasība attiecas uz gadījumiem, kad ārzemnieks reģistrējas studijām augstskolā vai koledžā, šī prasība netiek attiecināta uz tām personām, kas jau ir uzņemtas augstskolās un koledžās.</w:t>
            </w:r>
          </w:p>
          <w:p w:rsidR="00937AA7" w:rsidRDefault="00937AA7" w:rsidP="004A0083">
            <w:pPr>
              <w:spacing w:after="0" w:line="240" w:lineRule="auto"/>
              <w:jc w:val="both"/>
              <w:rPr>
                <w:rFonts w:ascii="Times New Roman" w:hAnsi="Times New Roman"/>
                <w:sz w:val="24"/>
                <w:szCs w:val="24"/>
              </w:rPr>
            </w:pPr>
            <w:r>
              <w:rPr>
                <w:rFonts w:ascii="Times New Roman" w:hAnsi="Times New Roman"/>
                <w:sz w:val="24"/>
                <w:szCs w:val="24"/>
              </w:rPr>
              <w:t>Vienlaikus ir noteikts izņēmums, ka studiju programmas īstenošanas valodas prasme B2 līmenī nav jāapliecina, ja studētgribētājs vidējo izglītību ieguvis attiecīgajā studiju programmas īstenošanas valodā. Šāds izņēmums ir loģisks, ja, piemēram, studiju programmas īstenošanas valoda ir angļu valoda un tajā studēt vēlas Lielbritānijas pilsonis.</w:t>
            </w:r>
          </w:p>
          <w:p w:rsidR="00E46391" w:rsidRDefault="003F145A" w:rsidP="004E18E0">
            <w:pPr>
              <w:spacing w:after="0" w:line="240" w:lineRule="auto"/>
              <w:jc w:val="both"/>
              <w:rPr>
                <w:rFonts w:ascii="Times New Roman" w:hAnsi="Times New Roman"/>
                <w:sz w:val="24"/>
                <w:szCs w:val="24"/>
              </w:rPr>
            </w:pPr>
            <w:r>
              <w:rPr>
                <w:rFonts w:ascii="Times New Roman" w:hAnsi="Times New Roman"/>
                <w:sz w:val="24"/>
                <w:szCs w:val="24"/>
              </w:rPr>
              <w:t>Augstskolu likuma 46.panta trešā daļa nosaka, ka pilna un nepilna laika bakalaura un profesionālajās izglītības programmās, kurās uzņemšanas prasība ir iepriekš iegūtā vidējā izglītība, studējošie tiek uzņemti atklātā un vienlīdzīgā konkursā, pamatojoties uz centralizēto eksāmenu rezult</w:t>
            </w:r>
            <w:r w:rsidR="00630039">
              <w:rPr>
                <w:rFonts w:ascii="Times New Roman" w:hAnsi="Times New Roman"/>
                <w:sz w:val="24"/>
                <w:szCs w:val="24"/>
              </w:rPr>
              <w:t>ātiem.</w:t>
            </w:r>
            <w:r w:rsidR="008C1763">
              <w:rPr>
                <w:rFonts w:ascii="Times New Roman" w:hAnsi="Times New Roman"/>
                <w:sz w:val="24"/>
                <w:szCs w:val="24"/>
              </w:rPr>
              <w:t xml:space="preserve"> Vispārējās izglītības likuma 48.panta trešā daļa nosaka, ka v</w:t>
            </w:r>
            <w:r w:rsidR="008C1763" w:rsidRPr="008C1763">
              <w:rPr>
                <w:rFonts w:ascii="Times New Roman" w:hAnsi="Times New Roman"/>
                <w:sz w:val="24"/>
                <w:szCs w:val="24"/>
              </w:rPr>
              <w:t>ispārējās vidējās izglītības sertifikātā uzrādītie vērtējumi mācību priekšmetos, tai skaitā starptautiskas testēšanas institūcijas pārbaudījuma vērtējums, ja centralizētais eksāmens svešvalodā aizstāts ar starptautiskas testēšanas institūcijas pārbaudījumu, kalpo par konkursa atlases kritēriju izglītojamā uzņemšanai augstākas pakāpes izglītības programmās.</w:t>
            </w:r>
            <w:r w:rsidR="00630039">
              <w:rPr>
                <w:rFonts w:ascii="Times New Roman" w:hAnsi="Times New Roman"/>
                <w:sz w:val="24"/>
                <w:szCs w:val="24"/>
              </w:rPr>
              <w:t xml:space="preserve"> Ministru kabineta 2013.gada 21.maija noteikumu Nr.281 “</w:t>
            </w:r>
            <w:r w:rsidR="00630039" w:rsidRPr="00A734A7">
              <w:rPr>
                <w:rFonts w:ascii="Times New Roman" w:hAnsi="Times New Roman"/>
                <w:sz w:val="24"/>
                <w:szCs w:val="24"/>
              </w:rPr>
              <w:t>Noteikumi par valsts vispārējās vidējās izglītības standartu, mācību priekšmetu standartiem un izglītības programmu paraugiem</w:t>
            </w:r>
            <w:r w:rsidR="00630039">
              <w:rPr>
                <w:rFonts w:ascii="Times New Roman" w:hAnsi="Times New Roman"/>
                <w:sz w:val="24"/>
                <w:szCs w:val="24"/>
              </w:rPr>
              <w:t xml:space="preserve">” 17.punkts nosaka, ka valsts </w:t>
            </w:r>
            <w:r w:rsidR="00630039">
              <w:rPr>
                <w:rFonts w:ascii="Times New Roman" w:hAnsi="Times New Roman"/>
                <w:sz w:val="24"/>
                <w:szCs w:val="24"/>
              </w:rPr>
              <w:lastRenderedPageBreak/>
              <w:t xml:space="preserve">pārbaudījumi par vispārējās vidējās izglītības ieguvi ir ne mazāk kā četri: centralizētais eksāmens latviešu valodā, matemātikā un vienā svešvalodā pēc izglītojamā izvēles un vismaz viens eksāmens pēc izglītojamā izvēles. </w:t>
            </w:r>
            <w:r>
              <w:rPr>
                <w:rFonts w:ascii="Times New Roman" w:hAnsi="Times New Roman"/>
                <w:sz w:val="24"/>
                <w:szCs w:val="24"/>
              </w:rPr>
              <w:t xml:space="preserve">Šobrīd Ministru kabineta </w:t>
            </w:r>
            <w:r w:rsidRPr="003F145A">
              <w:rPr>
                <w:rFonts w:ascii="Times New Roman" w:hAnsi="Times New Roman"/>
                <w:sz w:val="24"/>
                <w:szCs w:val="24"/>
              </w:rPr>
              <w:t>2006.gada 10.</w:t>
            </w:r>
            <w:r>
              <w:rPr>
                <w:rFonts w:ascii="Times New Roman" w:hAnsi="Times New Roman"/>
                <w:sz w:val="24"/>
                <w:szCs w:val="24"/>
              </w:rPr>
              <w:t>oktobra noteikumu</w:t>
            </w:r>
            <w:r w:rsidRPr="003F145A">
              <w:rPr>
                <w:rFonts w:ascii="Times New Roman" w:hAnsi="Times New Roman"/>
                <w:sz w:val="24"/>
                <w:szCs w:val="24"/>
              </w:rPr>
              <w:t xml:space="preserve"> Nr.846 “Noteikumi par prasībām, kritērijiem un kārtību uzņemšanai studiju programmās”</w:t>
            </w:r>
            <w:r w:rsidR="00E46391">
              <w:rPr>
                <w:rFonts w:ascii="Times New Roman" w:hAnsi="Times New Roman"/>
                <w:sz w:val="24"/>
                <w:szCs w:val="24"/>
              </w:rPr>
              <w:t xml:space="preserve"> </w:t>
            </w:r>
            <w:r w:rsidR="008C1763">
              <w:rPr>
                <w:rFonts w:ascii="Times New Roman" w:hAnsi="Times New Roman"/>
                <w:sz w:val="24"/>
                <w:szCs w:val="24"/>
              </w:rPr>
              <w:t>10.punkts paredz, ka</w:t>
            </w:r>
            <w:r>
              <w:rPr>
                <w:rFonts w:ascii="Times New Roman" w:hAnsi="Times New Roman"/>
                <w:sz w:val="24"/>
                <w:szCs w:val="24"/>
              </w:rPr>
              <w:t xml:space="preserve"> augstskolas un koledžas nosaka vismaz divus mācību priekšmetus, kuros kārtotā centralizētā eksāmena rezultāt</w:t>
            </w:r>
            <w:r w:rsidR="00F7222B">
              <w:rPr>
                <w:rFonts w:ascii="Times New Roman" w:hAnsi="Times New Roman"/>
                <w:sz w:val="24"/>
                <w:szCs w:val="24"/>
              </w:rPr>
              <w:t xml:space="preserve">s ir konkursa atlases kritērijs, savukārt projekta </w:t>
            </w:r>
            <w:r w:rsidR="008C1763">
              <w:rPr>
                <w:rFonts w:ascii="Times New Roman" w:hAnsi="Times New Roman"/>
                <w:sz w:val="24"/>
                <w:szCs w:val="24"/>
              </w:rPr>
              <w:t>1.</w:t>
            </w:r>
            <w:r w:rsidR="00F7222B">
              <w:rPr>
                <w:rFonts w:ascii="Times New Roman" w:hAnsi="Times New Roman"/>
                <w:sz w:val="24"/>
                <w:szCs w:val="24"/>
              </w:rPr>
              <w:t>2.</w:t>
            </w:r>
            <w:r w:rsidR="008C1763">
              <w:rPr>
                <w:rFonts w:ascii="Times New Roman" w:hAnsi="Times New Roman"/>
                <w:sz w:val="24"/>
                <w:szCs w:val="24"/>
              </w:rPr>
              <w:t>apakš</w:t>
            </w:r>
            <w:r w:rsidR="00F7222B">
              <w:rPr>
                <w:rFonts w:ascii="Times New Roman" w:hAnsi="Times New Roman"/>
                <w:sz w:val="24"/>
                <w:szCs w:val="24"/>
              </w:rPr>
              <w:t xml:space="preserve">punkts paredz noteikt, ka ņemami vērā centralizētajos eksāmenos </w:t>
            </w:r>
            <w:r w:rsidR="00E46391">
              <w:rPr>
                <w:rFonts w:ascii="Times New Roman" w:hAnsi="Times New Roman"/>
                <w:sz w:val="24"/>
                <w:szCs w:val="24"/>
              </w:rPr>
              <w:t>latviešu valodā, matemātikā</w:t>
            </w:r>
            <w:r w:rsidR="00321CF4">
              <w:rPr>
                <w:rFonts w:ascii="Times New Roman" w:hAnsi="Times New Roman"/>
                <w:sz w:val="24"/>
                <w:szCs w:val="24"/>
              </w:rPr>
              <w:t xml:space="preserve"> un </w:t>
            </w:r>
            <w:r w:rsidR="00321CF4" w:rsidRPr="00321CF4">
              <w:rPr>
                <w:rFonts w:ascii="Times New Roman" w:hAnsi="Times New Roman"/>
                <w:sz w:val="24"/>
                <w:szCs w:val="24"/>
              </w:rPr>
              <w:t xml:space="preserve">svešvalodā </w:t>
            </w:r>
            <w:r w:rsidR="00F7222B">
              <w:rPr>
                <w:rFonts w:ascii="Times New Roman" w:hAnsi="Times New Roman"/>
                <w:sz w:val="24"/>
                <w:szCs w:val="24"/>
              </w:rPr>
              <w:t>sasniegtie rezultāti un ka augstskolas un koledžas var noteikt papildu</w:t>
            </w:r>
            <w:r w:rsidR="00321CF4">
              <w:rPr>
                <w:rFonts w:ascii="Times New Roman" w:hAnsi="Times New Roman"/>
                <w:sz w:val="24"/>
                <w:szCs w:val="24"/>
              </w:rPr>
              <w:t xml:space="preserve"> centralizēto eksāmenu, kura rezultātu</w:t>
            </w:r>
            <w:r w:rsidR="00F7222B">
              <w:rPr>
                <w:rFonts w:ascii="Times New Roman" w:hAnsi="Times New Roman"/>
                <w:sz w:val="24"/>
                <w:szCs w:val="24"/>
              </w:rPr>
              <w:t xml:space="preserve"> ņem vērā.</w:t>
            </w:r>
            <w:r>
              <w:rPr>
                <w:rFonts w:ascii="Times New Roman" w:hAnsi="Times New Roman"/>
                <w:sz w:val="24"/>
                <w:szCs w:val="24"/>
              </w:rPr>
              <w:t xml:space="preserve"> </w:t>
            </w:r>
            <w:r w:rsidR="00D4258B" w:rsidRPr="003E31F2">
              <w:rPr>
                <w:rFonts w:ascii="Times New Roman" w:hAnsi="Times New Roman"/>
                <w:sz w:val="24"/>
                <w:szCs w:val="24"/>
              </w:rPr>
              <w:t xml:space="preserve">Projekta </w:t>
            </w:r>
            <w:r w:rsidR="008C1763">
              <w:rPr>
                <w:rFonts w:ascii="Times New Roman" w:hAnsi="Times New Roman"/>
                <w:sz w:val="24"/>
                <w:szCs w:val="24"/>
              </w:rPr>
              <w:t>1.</w:t>
            </w:r>
            <w:r w:rsidR="00D4258B" w:rsidRPr="003E31F2">
              <w:rPr>
                <w:rFonts w:ascii="Times New Roman" w:hAnsi="Times New Roman"/>
                <w:sz w:val="24"/>
                <w:szCs w:val="24"/>
              </w:rPr>
              <w:t>2</w:t>
            </w:r>
            <w:r w:rsidR="008C1763">
              <w:rPr>
                <w:rFonts w:ascii="Times New Roman" w:hAnsi="Times New Roman"/>
                <w:sz w:val="24"/>
                <w:szCs w:val="24"/>
              </w:rPr>
              <w:t>.apakš</w:t>
            </w:r>
            <w:r w:rsidR="00D4258B" w:rsidRPr="003E31F2">
              <w:rPr>
                <w:rFonts w:ascii="Times New Roman" w:hAnsi="Times New Roman"/>
                <w:sz w:val="24"/>
                <w:szCs w:val="24"/>
              </w:rPr>
              <w:t>punkt</w:t>
            </w:r>
            <w:r w:rsidR="00134467">
              <w:rPr>
                <w:rFonts w:ascii="Times New Roman" w:hAnsi="Times New Roman"/>
                <w:sz w:val="24"/>
                <w:szCs w:val="24"/>
              </w:rPr>
              <w:t xml:space="preserve">ā ietvertā grozījuma būtība ir </w:t>
            </w:r>
            <w:r w:rsidR="00E46391">
              <w:rPr>
                <w:rFonts w:ascii="Times New Roman" w:hAnsi="Times New Roman"/>
                <w:sz w:val="24"/>
                <w:szCs w:val="24"/>
              </w:rPr>
              <w:t xml:space="preserve">noteikt, ka </w:t>
            </w:r>
            <w:r w:rsidR="00134467">
              <w:rPr>
                <w:rFonts w:ascii="Times New Roman" w:hAnsi="Times New Roman"/>
                <w:sz w:val="24"/>
                <w:szCs w:val="24"/>
              </w:rPr>
              <w:t xml:space="preserve">visu </w:t>
            </w:r>
            <w:r w:rsidR="00953FFD">
              <w:rPr>
                <w:rFonts w:ascii="Times New Roman" w:hAnsi="Times New Roman"/>
                <w:sz w:val="24"/>
                <w:szCs w:val="24"/>
              </w:rPr>
              <w:t xml:space="preserve">obligāto </w:t>
            </w:r>
            <w:r w:rsidR="00D4258B" w:rsidRPr="003E31F2">
              <w:rPr>
                <w:rFonts w:ascii="Times New Roman" w:hAnsi="Times New Roman"/>
                <w:sz w:val="24"/>
                <w:szCs w:val="24"/>
              </w:rPr>
              <w:t>centralizēto eksāmenu rezultāti</w:t>
            </w:r>
            <w:r w:rsidR="00953FFD">
              <w:rPr>
                <w:rFonts w:ascii="Times New Roman" w:hAnsi="Times New Roman"/>
                <w:sz w:val="24"/>
                <w:szCs w:val="24"/>
              </w:rPr>
              <w:t>,</w:t>
            </w:r>
            <w:r w:rsidR="00953FFD">
              <w:t xml:space="preserve"> </w:t>
            </w:r>
            <w:r w:rsidR="00953FFD" w:rsidRPr="00953FFD">
              <w:rPr>
                <w:rFonts w:ascii="Times New Roman" w:hAnsi="Times New Roman"/>
                <w:sz w:val="24"/>
                <w:szCs w:val="24"/>
              </w:rPr>
              <w:t>proti, centralizētā eksāmena latviešu valodā, matemātikā un svešvalodā vērtējumi</w:t>
            </w:r>
            <w:r w:rsidR="00953FFD">
              <w:rPr>
                <w:rFonts w:ascii="Times New Roman" w:hAnsi="Times New Roman"/>
                <w:sz w:val="24"/>
                <w:szCs w:val="24"/>
              </w:rPr>
              <w:t>,</w:t>
            </w:r>
            <w:r w:rsidR="00D4258B" w:rsidRPr="003E31F2">
              <w:rPr>
                <w:rFonts w:ascii="Times New Roman" w:hAnsi="Times New Roman"/>
                <w:sz w:val="24"/>
                <w:szCs w:val="24"/>
              </w:rPr>
              <w:t xml:space="preserve"> ir jāņem vēr</w:t>
            </w:r>
            <w:r w:rsidR="0031208B" w:rsidRPr="003E31F2">
              <w:rPr>
                <w:rFonts w:ascii="Times New Roman" w:hAnsi="Times New Roman"/>
                <w:sz w:val="24"/>
                <w:szCs w:val="24"/>
              </w:rPr>
              <w:t>ā konkursā.</w:t>
            </w:r>
            <w:r w:rsidR="004E18E0">
              <w:rPr>
                <w:rFonts w:ascii="Times New Roman" w:hAnsi="Times New Roman"/>
                <w:sz w:val="24"/>
                <w:szCs w:val="24"/>
              </w:rPr>
              <w:t xml:space="preserve"> Saskaņā ar Vispārējās izglītības likuma 48.panta pirmo daļu p</w:t>
            </w:r>
            <w:r w:rsidR="004E18E0" w:rsidRPr="004E18E0">
              <w:rPr>
                <w:rFonts w:ascii="Times New Roman" w:hAnsi="Times New Roman"/>
                <w:sz w:val="24"/>
                <w:szCs w:val="24"/>
              </w:rPr>
              <w:t>ar vispārējās vidējās izglītības programmas apguvi izglītojamie saņem atestātu par vispārējo vidējo izglītību, sekmju izrakstu un vispārējās</w:t>
            </w:r>
            <w:r w:rsidR="004E18E0">
              <w:rPr>
                <w:rFonts w:ascii="Times New Roman" w:hAnsi="Times New Roman"/>
                <w:sz w:val="24"/>
                <w:szCs w:val="24"/>
              </w:rPr>
              <w:t xml:space="preserve"> vidējās izglītības sertifikātu, savukārt saskaņā ar šī paša panta ceturto daļu par </w:t>
            </w:r>
            <w:r w:rsidR="004E18E0" w:rsidRPr="004E18E0">
              <w:rPr>
                <w:rFonts w:ascii="Times New Roman" w:hAnsi="Times New Roman"/>
                <w:sz w:val="24"/>
                <w:szCs w:val="24"/>
              </w:rPr>
              <w:t>vispārējās vidējās izglītības programmas apguvi izglītojamaj</w:t>
            </w:r>
            <w:r w:rsidR="004E18E0">
              <w:rPr>
                <w:rFonts w:ascii="Times New Roman" w:hAnsi="Times New Roman"/>
                <w:sz w:val="24"/>
                <w:szCs w:val="24"/>
              </w:rPr>
              <w:t>am izsniedz liecību, ja</w:t>
            </w:r>
            <w:r w:rsidR="004E18E0" w:rsidRPr="004E18E0">
              <w:rPr>
                <w:rFonts w:ascii="Times New Roman" w:hAnsi="Times New Roman"/>
                <w:sz w:val="24"/>
                <w:szCs w:val="24"/>
              </w:rPr>
              <w:t xml:space="preserve"> nav iegūts vērtējums </w:t>
            </w:r>
            <w:r w:rsidR="004E18E0">
              <w:rPr>
                <w:rFonts w:ascii="Times New Roman" w:hAnsi="Times New Roman"/>
                <w:sz w:val="24"/>
                <w:szCs w:val="24"/>
              </w:rPr>
              <w:t>kādā no valsts pārbaudījumiem vai</w:t>
            </w:r>
            <w:r w:rsidR="004E18E0" w:rsidRPr="004E18E0">
              <w:rPr>
                <w:rFonts w:ascii="Times New Roman" w:hAnsi="Times New Roman"/>
                <w:sz w:val="24"/>
                <w:szCs w:val="24"/>
              </w:rPr>
              <w:t xml:space="preserve"> vērtējums valsts pārbaudījumā atbilstoši valsts izglītības standartā noteiktajai izglītojamā mācību sasniegumu vērtēšanas kārtībai ir zemāks par četrām ballēm.</w:t>
            </w:r>
            <w:r w:rsidR="0031208B" w:rsidRPr="003E31F2">
              <w:rPr>
                <w:rFonts w:ascii="Times New Roman" w:hAnsi="Times New Roman"/>
                <w:sz w:val="24"/>
                <w:szCs w:val="24"/>
              </w:rPr>
              <w:t xml:space="preserve"> </w:t>
            </w:r>
            <w:r w:rsidR="00315A0E">
              <w:rPr>
                <w:rFonts w:ascii="Times New Roman" w:hAnsi="Times New Roman"/>
                <w:sz w:val="24"/>
                <w:szCs w:val="24"/>
              </w:rPr>
              <w:t>Profesionālās izglītības likuma 6.panta otrā daļa nosaka, ka valsts atzītu profesionālās izglītības dokumentu izsniedz izglītojamajam, kurš apguvis akreditētu profesionālās izglītības programmu un nokārtojis profesionālās kvalifikācijas un citus valsts profesionālās izglītības standartā noteiktos noslēguma pārbaudījumus. Saskaņā ar Ministru kabineta 2000.gada 27.jū</w:t>
            </w:r>
            <w:r w:rsidR="00953FFD">
              <w:rPr>
                <w:rFonts w:ascii="Times New Roman" w:hAnsi="Times New Roman"/>
                <w:sz w:val="24"/>
                <w:szCs w:val="24"/>
              </w:rPr>
              <w:t>nija noteikumu</w:t>
            </w:r>
            <w:r w:rsidR="00315A0E">
              <w:rPr>
                <w:rFonts w:ascii="Times New Roman" w:hAnsi="Times New Roman"/>
                <w:sz w:val="24"/>
                <w:szCs w:val="24"/>
              </w:rPr>
              <w:t xml:space="preserve"> Nr.211 “</w:t>
            </w:r>
            <w:r w:rsidR="00315A0E" w:rsidRPr="00315A0E">
              <w:rPr>
                <w:rFonts w:ascii="Times New Roman" w:hAnsi="Times New Roman"/>
                <w:sz w:val="24"/>
                <w:szCs w:val="24"/>
              </w:rPr>
              <w:t>Noteikumi par valsts profesionālās vidējās izglītības standartu un valsts arodizglītības standartu</w:t>
            </w:r>
            <w:r w:rsidR="00315A0E">
              <w:rPr>
                <w:rFonts w:ascii="Times New Roman" w:hAnsi="Times New Roman"/>
                <w:sz w:val="24"/>
                <w:szCs w:val="24"/>
              </w:rPr>
              <w:t>” 4.pielikuma 1.punktā noteikto profesionālās vidējās izglītības programmas viens no apguves priekšnoteikumiem ir tas, ka ir nokārtoti</w:t>
            </w:r>
            <w:r w:rsidR="00315A0E" w:rsidRPr="00315A0E">
              <w:rPr>
                <w:rFonts w:ascii="Times New Roman" w:hAnsi="Times New Roman"/>
                <w:sz w:val="24"/>
                <w:szCs w:val="24"/>
              </w:rPr>
              <w:t xml:space="preserve"> profesionālās vidējās izglītības programma</w:t>
            </w:r>
            <w:r w:rsidR="00315A0E">
              <w:rPr>
                <w:rFonts w:ascii="Times New Roman" w:hAnsi="Times New Roman"/>
                <w:sz w:val="24"/>
                <w:szCs w:val="24"/>
              </w:rPr>
              <w:t>s valsts noslēguma pārbaudījumi – eksāmeni</w:t>
            </w:r>
            <w:r w:rsidR="00315A0E" w:rsidRPr="00315A0E">
              <w:rPr>
                <w:rFonts w:ascii="Times New Roman" w:hAnsi="Times New Roman"/>
                <w:sz w:val="24"/>
                <w:szCs w:val="24"/>
              </w:rPr>
              <w:t xml:space="preserve"> mācību priekšmeto</w:t>
            </w:r>
            <w:r w:rsidR="00315A0E">
              <w:rPr>
                <w:rFonts w:ascii="Times New Roman" w:hAnsi="Times New Roman"/>
                <w:sz w:val="24"/>
                <w:szCs w:val="24"/>
              </w:rPr>
              <w:t>s un</w:t>
            </w:r>
            <w:r w:rsidR="00315A0E" w:rsidRPr="00315A0E">
              <w:rPr>
                <w:rFonts w:ascii="Times New Roman" w:hAnsi="Times New Roman"/>
                <w:sz w:val="24"/>
                <w:szCs w:val="24"/>
              </w:rPr>
              <w:t xml:space="preserve"> tajos </w:t>
            </w:r>
            <w:r w:rsidR="00315A0E">
              <w:rPr>
                <w:rFonts w:ascii="Times New Roman" w:hAnsi="Times New Roman"/>
                <w:sz w:val="24"/>
                <w:szCs w:val="24"/>
              </w:rPr>
              <w:t xml:space="preserve">saņemti </w:t>
            </w:r>
            <w:r w:rsidR="00315A0E" w:rsidRPr="00315A0E">
              <w:rPr>
                <w:rFonts w:ascii="Times New Roman" w:hAnsi="Times New Roman"/>
                <w:sz w:val="24"/>
                <w:szCs w:val="24"/>
              </w:rPr>
              <w:t>vērtējum</w:t>
            </w:r>
            <w:r w:rsidR="00315A0E">
              <w:rPr>
                <w:rFonts w:ascii="Times New Roman" w:hAnsi="Times New Roman"/>
                <w:sz w:val="24"/>
                <w:szCs w:val="24"/>
              </w:rPr>
              <w:t>i. No minētā izriet, ka valsts atzītu vidējo izglītību apliecinošu dokumentu persona iegūst, ja ir nokārtoti centralizētie eks</w:t>
            </w:r>
            <w:r w:rsidR="00134467">
              <w:rPr>
                <w:rFonts w:ascii="Times New Roman" w:hAnsi="Times New Roman"/>
                <w:sz w:val="24"/>
                <w:szCs w:val="24"/>
              </w:rPr>
              <w:t xml:space="preserve">āmeni, līdz ar to jebkura persona, kas būs ieguvusi vidējo izglītību un tātad nokārtojusi centralizētos eksāmenus, </w:t>
            </w:r>
            <w:r w:rsidR="00953FFD">
              <w:rPr>
                <w:rFonts w:ascii="Times New Roman" w:hAnsi="Times New Roman"/>
                <w:sz w:val="24"/>
                <w:szCs w:val="24"/>
              </w:rPr>
              <w:t xml:space="preserve">konkursa kārtībā </w:t>
            </w:r>
            <w:r w:rsidR="00134467">
              <w:rPr>
                <w:rFonts w:ascii="Times New Roman" w:hAnsi="Times New Roman"/>
                <w:sz w:val="24"/>
                <w:szCs w:val="24"/>
              </w:rPr>
              <w:t>varēs tikt uzņemta augstskolā vai koledžā.</w:t>
            </w:r>
          </w:p>
          <w:p w:rsidR="002B6B11" w:rsidRDefault="0031208B" w:rsidP="004E18E0">
            <w:pPr>
              <w:spacing w:after="0" w:line="240" w:lineRule="auto"/>
              <w:jc w:val="both"/>
              <w:rPr>
                <w:rFonts w:ascii="Times New Roman" w:hAnsi="Times New Roman"/>
                <w:sz w:val="24"/>
                <w:szCs w:val="24"/>
              </w:rPr>
            </w:pPr>
            <w:r w:rsidRPr="003E31F2">
              <w:rPr>
                <w:rFonts w:ascii="Times New Roman" w:hAnsi="Times New Roman"/>
                <w:sz w:val="24"/>
                <w:szCs w:val="24"/>
              </w:rPr>
              <w:t>Darba tirgus pieprasa augsti kvalificētus speciālistus, kas ir zinoši savā jomā, līdz ar to augstskolām un koledžām ir jāatlasa tikai spējīgākie studētgribētāji, lai sagatavotu augsti kvalificētus speciālistus, kas var nodrošinā</w:t>
            </w:r>
            <w:r w:rsidR="00F7222B" w:rsidRPr="003E31F2">
              <w:rPr>
                <w:rFonts w:ascii="Times New Roman" w:hAnsi="Times New Roman"/>
                <w:sz w:val="24"/>
                <w:szCs w:val="24"/>
              </w:rPr>
              <w:t>t</w:t>
            </w:r>
            <w:r w:rsidRPr="003E31F2">
              <w:rPr>
                <w:rFonts w:ascii="Times New Roman" w:hAnsi="Times New Roman"/>
                <w:sz w:val="24"/>
                <w:szCs w:val="24"/>
              </w:rPr>
              <w:t xml:space="preserve"> Latvijas tautsaimniecības attīstību.</w:t>
            </w:r>
            <w:r w:rsidR="00F7222B">
              <w:rPr>
                <w:rFonts w:ascii="Times New Roman" w:hAnsi="Times New Roman"/>
                <w:sz w:val="24"/>
                <w:szCs w:val="24"/>
              </w:rPr>
              <w:t xml:space="preserve"> Augstskolas un koledžas šobrīd konkurē savā starpā par studētgribētājiem, kas ar katru gadu paliek a</w:t>
            </w:r>
            <w:r w:rsidR="00282138">
              <w:rPr>
                <w:rFonts w:ascii="Times New Roman" w:hAnsi="Times New Roman"/>
                <w:sz w:val="24"/>
                <w:szCs w:val="24"/>
              </w:rPr>
              <w:t>izvien mazāk. Uzņemšanas</w:t>
            </w:r>
            <w:r w:rsidR="00E46391">
              <w:rPr>
                <w:rFonts w:ascii="Times New Roman" w:hAnsi="Times New Roman"/>
                <w:sz w:val="24"/>
                <w:szCs w:val="24"/>
              </w:rPr>
              <w:t xml:space="preserve"> prasības augstskolās un koledžā</w:t>
            </w:r>
            <w:r w:rsidR="00282138">
              <w:rPr>
                <w:rFonts w:ascii="Times New Roman" w:hAnsi="Times New Roman"/>
                <w:sz w:val="24"/>
                <w:szCs w:val="24"/>
              </w:rPr>
              <w:t>s nav pietiekami augstas un līdz ar to neveicina</w:t>
            </w:r>
            <w:r w:rsidR="00F7222B">
              <w:rPr>
                <w:rFonts w:ascii="Times New Roman" w:hAnsi="Times New Roman"/>
                <w:sz w:val="24"/>
                <w:szCs w:val="24"/>
              </w:rPr>
              <w:t>, ka augstāko izglītību iegūst tikai spējīgākie studētgribētāji, līdz ar ko ierobežotie resursi tiek izmantoti neefektīvi. Vidējās izglītības mērķis ir dot vispusīgas zināšanas, prasmes un kompetences un sagatavot skolēnus izglītības turpināšanai augstskolās un koledžās. Lai skolēns būtu gatavs turpināt izglītības ieguvi augstskolā vai koledžā, tam ir jābūt pietiekami sagatavotam jau vidusskolā</w:t>
            </w:r>
            <w:r w:rsidR="003E31F2">
              <w:rPr>
                <w:rFonts w:ascii="Times New Roman" w:hAnsi="Times New Roman"/>
                <w:sz w:val="24"/>
                <w:szCs w:val="24"/>
              </w:rPr>
              <w:t>. Šobrīd skolēnu sagatavotību un iegūtās zināšanas, prasmes un kompetences vislabāk apliecina tieši centralizēto eksāmenu rezultāti. Līdz ar to centralizēto eksāmenu rezultāti ir objektīvs kritērijs studētgribētāju atlasei, savukārt spējīgākos studētgribētājus palīdzēs atlasīt nosac</w:t>
            </w:r>
            <w:r w:rsidR="009F4866">
              <w:rPr>
                <w:rFonts w:ascii="Times New Roman" w:hAnsi="Times New Roman"/>
                <w:sz w:val="24"/>
                <w:szCs w:val="24"/>
              </w:rPr>
              <w:t>ījums, ka</w:t>
            </w:r>
            <w:r w:rsidR="003E31F2">
              <w:rPr>
                <w:rFonts w:ascii="Times New Roman" w:hAnsi="Times New Roman"/>
                <w:sz w:val="24"/>
                <w:szCs w:val="24"/>
              </w:rPr>
              <w:t xml:space="preserve"> centralizēto eksāmenu </w:t>
            </w:r>
            <w:r w:rsidR="00E46391">
              <w:rPr>
                <w:rFonts w:ascii="Times New Roman" w:hAnsi="Times New Roman"/>
                <w:sz w:val="24"/>
                <w:szCs w:val="24"/>
              </w:rPr>
              <w:t xml:space="preserve">latviešu valodā, matemātikā un svešvalodā </w:t>
            </w:r>
            <w:r w:rsidR="003E31F2">
              <w:rPr>
                <w:rFonts w:ascii="Times New Roman" w:hAnsi="Times New Roman"/>
                <w:sz w:val="24"/>
                <w:szCs w:val="24"/>
              </w:rPr>
              <w:t>rezultāti tiek ņemti vērā.</w:t>
            </w:r>
          </w:p>
          <w:p w:rsidR="002B6B11" w:rsidRPr="00944AC9" w:rsidRDefault="007F303D" w:rsidP="007F303D">
            <w:pPr>
              <w:spacing w:after="0" w:line="240" w:lineRule="auto"/>
              <w:jc w:val="both"/>
              <w:rPr>
                <w:rFonts w:ascii="Times New Roman" w:hAnsi="Times New Roman"/>
                <w:sz w:val="24"/>
                <w:szCs w:val="24"/>
              </w:rPr>
            </w:pPr>
            <w:r w:rsidRPr="007F303D">
              <w:rPr>
                <w:rFonts w:ascii="Times New Roman" w:hAnsi="Times New Roman"/>
                <w:sz w:val="24"/>
                <w:szCs w:val="24"/>
              </w:rPr>
              <w:t>Projektā ir noteikts, ka tas</w:t>
            </w:r>
            <w:r w:rsidR="002B6B11" w:rsidRPr="007F303D">
              <w:rPr>
                <w:rFonts w:ascii="Times New Roman" w:hAnsi="Times New Roman"/>
                <w:sz w:val="24"/>
                <w:szCs w:val="24"/>
              </w:rPr>
              <w:t xml:space="preserve"> st</w:t>
            </w:r>
            <w:r w:rsidRPr="007F303D">
              <w:rPr>
                <w:rFonts w:ascii="Times New Roman" w:hAnsi="Times New Roman"/>
                <w:sz w:val="24"/>
                <w:szCs w:val="24"/>
              </w:rPr>
              <w:t>ājas spēkā 2019.gada 1.janvārī, lai dotu laiku augstskolām</w:t>
            </w:r>
            <w:r>
              <w:rPr>
                <w:rFonts w:ascii="Times New Roman" w:hAnsi="Times New Roman"/>
                <w:sz w:val="24"/>
                <w:szCs w:val="24"/>
              </w:rPr>
              <w:t xml:space="preserve"> un koledžām sagatavoties izmaiņām, kā arī laicīgi informētu studētgribētājus par projektā noteiktajām uzņemšanas prasībām.</w:t>
            </w:r>
          </w:p>
        </w:tc>
      </w:tr>
      <w:tr w:rsidR="00AC7447" w:rsidRPr="00BF122F" w:rsidTr="007127BF">
        <w:trPr>
          <w:trHeight w:val="465"/>
        </w:trPr>
        <w:tc>
          <w:tcPr>
            <w:tcW w:w="226"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lastRenderedPageBreak/>
              <w:t>3.</w:t>
            </w:r>
          </w:p>
        </w:tc>
        <w:tc>
          <w:tcPr>
            <w:tcW w:w="1534"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izstrādē iesaistītās institūcijas</w:t>
            </w:r>
            <w:r w:rsidR="00372BDC">
              <w:rPr>
                <w:rFonts w:ascii="Times New Roman" w:hAnsi="Times New Roman"/>
                <w:sz w:val="24"/>
                <w:szCs w:val="24"/>
              </w:rPr>
              <w:t xml:space="preserve"> un publiskas personas kapitālsabiedrības</w:t>
            </w:r>
          </w:p>
        </w:tc>
        <w:tc>
          <w:tcPr>
            <w:tcW w:w="3240" w:type="pct"/>
            <w:tcBorders>
              <w:top w:val="outset" w:sz="6" w:space="0" w:color="414142"/>
              <w:left w:val="outset" w:sz="6" w:space="0" w:color="414142"/>
              <w:bottom w:val="outset" w:sz="6" w:space="0" w:color="414142"/>
              <w:right w:val="outset" w:sz="6" w:space="0" w:color="414142"/>
            </w:tcBorders>
          </w:tcPr>
          <w:p w:rsidR="00AC7447" w:rsidRPr="00BF122F" w:rsidRDefault="00A84332" w:rsidP="00226CCE">
            <w:pPr>
              <w:spacing w:after="0" w:line="240" w:lineRule="auto"/>
              <w:jc w:val="both"/>
              <w:rPr>
                <w:rFonts w:ascii="Times New Roman" w:hAnsi="Times New Roman"/>
                <w:sz w:val="24"/>
                <w:szCs w:val="24"/>
              </w:rPr>
            </w:pPr>
            <w:r>
              <w:rPr>
                <w:rFonts w:ascii="Times New Roman" w:hAnsi="Times New Roman"/>
                <w:sz w:val="24"/>
                <w:szCs w:val="24"/>
              </w:rPr>
              <w:t>Izglītības un zinātnes ministrija.</w:t>
            </w:r>
          </w:p>
        </w:tc>
      </w:tr>
      <w:tr w:rsidR="00AC7447" w:rsidRPr="00BF122F" w:rsidTr="007127BF">
        <w:tc>
          <w:tcPr>
            <w:tcW w:w="226"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4.</w:t>
            </w:r>
          </w:p>
        </w:tc>
        <w:tc>
          <w:tcPr>
            <w:tcW w:w="1534"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24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EF2D6D">
              <w:rPr>
                <w:rFonts w:ascii="Times New Roman" w:hAnsi="Times New Roman"/>
                <w:sz w:val="24"/>
                <w:szCs w:val="24"/>
              </w:rPr>
              <w:t>.</w:t>
            </w:r>
          </w:p>
        </w:tc>
      </w:tr>
    </w:tbl>
    <w:p w:rsidR="00AC7447" w:rsidRPr="00BF122F" w:rsidRDefault="00AC7447" w:rsidP="00464FA5">
      <w:pPr>
        <w:spacing w:after="0"/>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865"/>
        <w:gridCol w:w="5916"/>
      </w:tblGrid>
      <w:tr w:rsidR="00AC7447" w:rsidRPr="00BF122F" w:rsidTr="00226CCE">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BF122F">
              <w:rPr>
                <w:rFonts w:ascii="Times New Roman" w:hAnsi="Times New Roman"/>
                <w:b/>
                <w:bCs/>
                <w:sz w:val="24"/>
                <w:szCs w:val="24"/>
              </w:rPr>
              <w:t>II. Tiesību akta projekta ietekme uz sabiedrību, tautsaimniecības attīstību un administratīvo slogu</w:t>
            </w:r>
          </w:p>
        </w:tc>
      </w:tr>
      <w:tr w:rsidR="00AC7447" w:rsidRPr="00BF122F" w:rsidTr="00226CCE">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1.</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Sabiedrības mērķgrupas, kuras tiesiskais regulējums ietekmē vai varētu ietekmēt</w:t>
            </w:r>
          </w:p>
        </w:tc>
        <w:tc>
          <w:tcPr>
            <w:tcW w:w="3201" w:type="pct"/>
            <w:tcBorders>
              <w:top w:val="outset" w:sz="6" w:space="0" w:color="414142"/>
              <w:left w:val="outset" w:sz="6" w:space="0" w:color="414142"/>
              <w:bottom w:val="outset" w:sz="6" w:space="0" w:color="414142"/>
              <w:right w:val="outset" w:sz="6" w:space="0" w:color="414142"/>
            </w:tcBorders>
          </w:tcPr>
          <w:p w:rsidR="00AC7447" w:rsidRPr="00BF122F" w:rsidRDefault="00CF4535" w:rsidP="00050441">
            <w:pPr>
              <w:spacing w:after="0" w:line="240" w:lineRule="auto"/>
              <w:jc w:val="both"/>
              <w:rPr>
                <w:rFonts w:ascii="Times New Roman" w:hAnsi="Times New Roman"/>
                <w:sz w:val="24"/>
                <w:szCs w:val="24"/>
              </w:rPr>
            </w:pPr>
            <w:r>
              <w:rPr>
                <w:rFonts w:ascii="Times New Roman" w:hAnsi="Times New Roman"/>
                <w:sz w:val="24"/>
                <w:szCs w:val="24"/>
              </w:rPr>
              <w:t>Augstsk</w:t>
            </w:r>
            <w:r w:rsidR="00A71E7A">
              <w:rPr>
                <w:rFonts w:ascii="Times New Roman" w:hAnsi="Times New Roman"/>
                <w:sz w:val="24"/>
                <w:szCs w:val="24"/>
              </w:rPr>
              <w:t xml:space="preserve">olas un koledžas, </w:t>
            </w:r>
            <w:r w:rsidR="00050441">
              <w:rPr>
                <w:rFonts w:ascii="Times New Roman" w:hAnsi="Times New Roman"/>
                <w:sz w:val="24"/>
                <w:szCs w:val="24"/>
              </w:rPr>
              <w:t>studētgribētāji.</w:t>
            </w:r>
          </w:p>
        </w:tc>
      </w:tr>
      <w:tr w:rsidR="00AC7447"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2.</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Tiesiskā regulējuma ietekme uz tautsaimniecību un administratīvo slogu</w:t>
            </w:r>
          </w:p>
        </w:tc>
        <w:tc>
          <w:tcPr>
            <w:tcW w:w="3201" w:type="pct"/>
            <w:tcBorders>
              <w:top w:val="outset" w:sz="6" w:space="0" w:color="414142"/>
              <w:left w:val="outset" w:sz="6" w:space="0" w:color="414142"/>
              <w:bottom w:val="outset" w:sz="6" w:space="0" w:color="414142"/>
              <w:right w:val="outset" w:sz="6" w:space="0" w:color="414142"/>
            </w:tcBorders>
          </w:tcPr>
          <w:p w:rsidR="00CA5457" w:rsidRPr="00BF122F" w:rsidRDefault="00223B52" w:rsidP="00037902">
            <w:pPr>
              <w:spacing w:after="0" w:line="240" w:lineRule="auto"/>
              <w:jc w:val="both"/>
              <w:rPr>
                <w:rFonts w:ascii="Times New Roman" w:hAnsi="Times New Roman"/>
                <w:sz w:val="24"/>
                <w:szCs w:val="24"/>
              </w:rPr>
            </w:pPr>
            <w:r>
              <w:rPr>
                <w:rFonts w:ascii="Times New Roman" w:hAnsi="Times New Roman"/>
                <w:sz w:val="24"/>
                <w:szCs w:val="24"/>
              </w:rPr>
              <w:t>Augstskolām un koledžām, lai ieviestu projektā noteikto būs nepieciešams veikt izmaiņas savos iekšējos noteikumos par prasībām, kritērijiem un kārtību uzņemšanai augstskolā vai koledžā.</w:t>
            </w:r>
            <w:r w:rsidR="00050441">
              <w:rPr>
                <w:rFonts w:ascii="Times New Roman" w:hAnsi="Times New Roman"/>
                <w:sz w:val="24"/>
                <w:szCs w:val="24"/>
              </w:rPr>
              <w:t xml:space="preserve"> </w:t>
            </w:r>
            <w:r w:rsidR="00037902">
              <w:rPr>
                <w:rFonts w:ascii="Times New Roman" w:hAnsi="Times New Roman"/>
                <w:sz w:val="24"/>
                <w:szCs w:val="24"/>
              </w:rPr>
              <w:t>Ārzemniekiem būs nepieciešams reģistrējoties studijām iesniegt papildu dokumentu.</w:t>
            </w:r>
          </w:p>
        </w:tc>
      </w:tr>
      <w:tr w:rsidR="00AC7447"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3.</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Administratīvo izmaksu monetārs novērtējums</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037902" w:rsidP="00944652">
            <w:pPr>
              <w:spacing w:after="0" w:line="240" w:lineRule="auto"/>
              <w:jc w:val="both"/>
              <w:rPr>
                <w:rFonts w:ascii="Times New Roman" w:hAnsi="Times New Roman"/>
                <w:sz w:val="24"/>
                <w:szCs w:val="24"/>
              </w:rPr>
            </w:pPr>
            <w:r>
              <w:rPr>
                <w:rFonts w:ascii="Times New Roman" w:hAnsi="Times New Roman"/>
                <w:sz w:val="24"/>
                <w:szCs w:val="24"/>
              </w:rPr>
              <w:t>Projekts šo jomu neskar.</w:t>
            </w:r>
          </w:p>
        </w:tc>
      </w:tr>
      <w:tr w:rsidR="008E12E5"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tcPr>
          <w:p w:rsidR="008E12E5"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tcPr>
          <w:p w:rsidR="008E12E5"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Atbilstības izmaksu monetārs novērtējums</w:t>
            </w:r>
          </w:p>
        </w:tc>
        <w:tc>
          <w:tcPr>
            <w:tcW w:w="3201" w:type="pct"/>
            <w:tcBorders>
              <w:top w:val="outset" w:sz="6" w:space="0" w:color="414142"/>
              <w:left w:val="outset" w:sz="6" w:space="0" w:color="414142"/>
              <w:bottom w:val="outset" w:sz="6" w:space="0" w:color="414142"/>
              <w:right w:val="outset" w:sz="6" w:space="0" w:color="414142"/>
            </w:tcBorders>
          </w:tcPr>
          <w:p w:rsidR="008E12E5" w:rsidRDefault="00F4020C" w:rsidP="00226CCE">
            <w:pPr>
              <w:spacing w:after="0" w:line="240" w:lineRule="auto"/>
              <w:jc w:val="both"/>
              <w:rPr>
                <w:rFonts w:ascii="Times New Roman" w:hAnsi="Times New Roman"/>
                <w:sz w:val="24"/>
                <w:szCs w:val="24"/>
              </w:rPr>
            </w:pPr>
            <w:r>
              <w:rPr>
                <w:rFonts w:ascii="Times New Roman" w:hAnsi="Times New Roman"/>
                <w:sz w:val="24"/>
                <w:szCs w:val="24"/>
              </w:rPr>
              <w:t>Projekts šo jomu neskar.</w:t>
            </w:r>
          </w:p>
        </w:tc>
      </w:tr>
      <w:tr w:rsidR="00AC7447" w:rsidRPr="00BF122F" w:rsidTr="00226CCE">
        <w:trPr>
          <w:trHeight w:val="34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5</w:t>
            </w:r>
            <w:r w:rsidR="00AC7447" w:rsidRPr="00BF122F">
              <w:rPr>
                <w:rFonts w:ascii="Times New Roman" w:hAnsi="Times New Roman"/>
                <w:sz w:val="24"/>
                <w:szCs w:val="24"/>
              </w:rPr>
              <w:t>.</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D928E3">
              <w:rPr>
                <w:rFonts w:ascii="Times New Roman" w:hAnsi="Times New Roman"/>
                <w:sz w:val="24"/>
                <w:szCs w:val="24"/>
              </w:rPr>
              <w:t>.</w:t>
            </w:r>
          </w:p>
        </w:tc>
      </w:tr>
    </w:tbl>
    <w:p w:rsidR="00AC7447" w:rsidRPr="00BF122F" w:rsidRDefault="00AC7447" w:rsidP="00340FCC">
      <w:pPr>
        <w:spacing w:after="0"/>
        <w:rPr>
          <w:rFonts w:ascii="Times New Roman" w:hAnsi="Times New Roman"/>
          <w:sz w:val="24"/>
          <w:szCs w:val="24"/>
        </w:rPr>
      </w:pPr>
    </w:p>
    <w:tbl>
      <w:tblPr>
        <w:tblW w:w="5016"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271"/>
      </w:tblGrid>
      <w:tr w:rsidR="008E12E5" w:rsidRPr="008E12E5" w:rsidTr="00251A05">
        <w:trPr>
          <w:trHeight w:val="20"/>
          <w:jc w:val="center"/>
        </w:trPr>
        <w:tc>
          <w:tcPr>
            <w:tcW w:w="5000" w:type="pct"/>
            <w:tcBorders>
              <w:top w:val="outset" w:sz="6" w:space="0" w:color="000000"/>
              <w:left w:val="outset" w:sz="6" w:space="0" w:color="000000"/>
              <w:bottom w:val="outset" w:sz="6" w:space="0" w:color="000000"/>
              <w:right w:val="outset" w:sz="6" w:space="0" w:color="000000"/>
            </w:tcBorders>
          </w:tcPr>
          <w:p w:rsidR="008E12E5" w:rsidRPr="008E12E5" w:rsidRDefault="008E12E5" w:rsidP="008E12E5">
            <w:pPr>
              <w:jc w:val="center"/>
              <w:rPr>
                <w:rFonts w:ascii="Times New Roman" w:hAnsi="Times New Roman"/>
                <w:b/>
                <w:sz w:val="24"/>
                <w:szCs w:val="24"/>
              </w:rPr>
            </w:pPr>
            <w:r w:rsidRPr="008E12E5">
              <w:rPr>
                <w:rFonts w:ascii="Times New Roman" w:hAnsi="Times New Roman"/>
                <w:b/>
                <w:sz w:val="24"/>
                <w:szCs w:val="24"/>
              </w:rPr>
              <w:t>III. Tiesību akta projekta ietekme uz valsts budžetu un pašvaldību budžetiem</w:t>
            </w:r>
          </w:p>
        </w:tc>
      </w:tr>
      <w:tr w:rsidR="00D57023" w:rsidRPr="008E12E5" w:rsidTr="00D57023">
        <w:trPr>
          <w:trHeight w:val="372"/>
          <w:jc w:val="center"/>
        </w:trPr>
        <w:tc>
          <w:tcPr>
            <w:tcW w:w="5000" w:type="pct"/>
            <w:tcBorders>
              <w:top w:val="outset" w:sz="6" w:space="0" w:color="000000"/>
              <w:left w:val="outset" w:sz="6" w:space="0" w:color="000000"/>
              <w:right w:val="outset" w:sz="6" w:space="0" w:color="000000"/>
            </w:tcBorders>
            <w:vAlign w:val="center"/>
          </w:tcPr>
          <w:p w:rsidR="00D57023" w:rsidRPr="008E12E5" w:rsidRDefault="00D57023" w:rsidP="00D57023">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340FCC" w:rsidRDefault="00340FCC" w:rsidP="00340FCC">
      <w:pPr>
        <w:spacing w:after="0"/>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41"/>
      </w:tblGrid>
      <w:tr w:rsidR="00AC7447" w:rsidRPr="00BF122F" w:rsidTr="00226CCE">
        <w:trPr>
          <w:trHeight w:val="375"/>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9E521B">
              <w:rPr>
                <w:rFonts w:ascii="Times New Roman" w:hAnsi="Times New Roman"/>
                <w:b/>
                <w:bCs/>
                <w:sz w:val="24"/>
                <w:szCs w:val="24"/>
              </w:rPr>
              <w:t>IV. Tiesību akta projekta ietekme uz spēkā esošo tiesību normu sistēmu</w:t>
            </w:r>
          </w:p>
        </w:tc>
      </w:tr>
      <w:tr w:rsidR="00037902" w:rsidRPr="00BF122F" w:rsidTr="00037902">
        <w:trPr>
          <w:trHeight w:val="420"/>
          <w:jc w:val="center"/>
        </w:trPr>
        <w:tc>
          <w:tcPr>
            <w:tcW w:w="5000" w:type="pct"/>
            <w:tcBorders>
              <w:top w:val="single" w:sz="4" w:space="0" w:color="auto"/>
              <w:left w:val="single" w:sz="4" w:space="0" w:color="auto"/>
              <w:bottom w:val="single" w:sz="4" w:space="0" w:color="auto"/>
              <w:right w:val="outset" w:sz="6" w:space="0" w:color="414142"/>
            </w:tcBorders>
            <w:hideMark/>
          </w:tcPr>
          <w:p w:rsidR="00037902" w:rsidRPr="00BF122F" w:rsidRDefault="00037902" w:rsidP="00037902">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D12779" w:rsidRDefault="00D12779" w:rsidP="00AC7447">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41"/>
      </w:tblGrid>
      <w:tr w:rsidR="00340FCC" w:rsidRPr="00BF122F" w:rsidTr="00226CCE">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340FCC" w:rsidRPr="00BF122F" w:rsidRDefault="00340FCC"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Pr>
                <w:rFonts w:ascii="Times New Roman" w:hAnsi="Times New Roman"/>
                <w:b/>
                <w:bCs/>
                <w:sz w:val="24"/>
                <w:szCs w:val="24"/>
              </w:rPr>
              <w:t>V</w:t>
            </w:r>
            <w:r w:rsidRPr="00BF122F">
              <w:rPr>
                <w:rFonts w:ascii="Times New Roman" w:hAnsi="Times New Roman"/>
                <w:b/>
                <w:bCs/>
                <w:sz w:val="24"/>
                <w:szCs w:val="24"/>
              </w:rPr>
              <w:t xml:space="preserve">. Tiesību akta projekta </w:t>
            </w:r>
            <w:r>
              <w:rPr>
                <w:rFonts w:ascii="Times New Roman" w:hAnsi="Times New Roman"/>
                <w:b/>
                <w:bCs/>
                <w:sz w:val="24"/>
                <w:szCs w:val="24"/>
              </w:rPr>
              <w:t>atbilstība Latvijas Republikas starptautiskajām saistībām</w:t>
            </w:r>
          </w:p>
        </w:tc>
      </w:tr>
      <w:tr w:rsidR="00340FCC" w:rsidRPr="00BF122F" w:rsidTr="00226CCE">
        <w:trPr>
          <w:trHeight w:val="465"/>
        </w:trPr>
        <w:tc>
          <w:tcPr>
            <w:tcW w:w="5000" w:type="pct"/>
            <w:tcBorders>
              <w:top w:val="outset" w:sz="6" w:space="0" w:color="414142"/>
              <w:left w:val="outset" w:sz="6" w:space="0" w:color="414142"/>
              <w:bottom w:val="outset" w:sz="6" w:space="0" w:color="414142"/>
              <w:right w:val="outset" w:sz="6" w:space="0" w:color="414142"/>
            </w:tcBorders>
          </w:tcPr>
          <w:p w:rsidR="00340FCC" w:rsidRPr="00BF122F" w:rsidRDefault="00340FCC" w:rsidP="00226CCE">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464FA5" w:rsidRDefault="00464FA5" w:rsidP="00340FCC">
      <w:pPr>
        <w:spacing w:after="0" w:line="240" w:lineRule="auto"/>
        <w:rPr>
          <w:rFonts w:ascii="Times New Roman" w:hAnsi="Times New Roman"/>
          <w:sz w:val="24"/>
          <w:szCs w:val="24"/>
        </w:rPr>
      </w:pPr>
    </w:p>
    <w:tbl>
      <w:tblPr>
        <w:tblStyle w:val="TableGrid"/>
        <w:tblW w:w="5000" w:type="pct"/>
        <w:tblLook w:val="04A0" w:firstRow="1" w:lastRow="0" w:firstColumn="1" w:lastColumn="0" w:noHBand="0" w:noVBand="1"/>
      </w:tblPr>
      <w:tblGrid>
        <w:gridCol w:w="462"/>
        <w:gridCol w:w="2935"/>
        <w:gridCol w:w="5850"/>
      </w:tblGrid>
      <w:tr w:rsidR="004D52B7" w:rsidRPr="004D52B7" w:rsidTr="00226CCE">
        <w:trPr>
          <w:trHeight w:val="420"/>
        </w:trPr>
        <w:tc>
          <w:tcPr>
            <w:tcW w:w="0" w:type="auto"/>
            <w:gridSpan w:val="3"/>
            <w:hideMark/>
          </w:tcPr>
          <w:p w:rsidR="004D52B7" w:rsidRPr="004D52B7" w:rsidRDefault="004D52B7" w:rsidP="004D52B7">
            <w:pPr>
              <w:spacing w:after="0" w:line="240" w:lineRule="auto"/>
              <w:jc w:val="center"/>
              <w:rPr>
                <w:rFonts w:ascii="Times New Roman" w:hAnsi="Times New Roman"/>
                <w:b/>
                <w:bCs/>
                <w:sz w:val="24"/>
                <w:szCs w:val="24"/>
              </w:rPr>
            </w:pPr>
            <w:r w:rsidRPr="004D52B7">
              <w:rPr>
                <w:rFonts w:ascii="Times New Roman" w:hAnsi="Times New Roman"/>
                <w:b/>
                <w:bCs/>
                <w:sz w:val="24"/>
                <w:szCs w:val="24"/>
              </w:rPr>
              <w:t>VI. Sabiedrības līdzdalība un komunikācijas aktivitātes</w:t>
            </w:r>
          </w:p>
        </w:tc>
      </w:tr>
      <w:tr w:rsidR="004D52B7" w:rsidRPr="004D52B7" w:rsidTr="00DE083B">
        <w:trPr>
          <w:trHeight w:val="540"/>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1.</w:t>
            </w:r>
          </w:p>
        </w:tc>
        <w:tc>
          <w:tcPr>
            <w:tcW w:w="1587"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Plānotās sabiedrības līdzdalības un komunikācijas aktivitātes saistībā ar projektu</w:t>
            </w:r>
          </w:p>
        </w:tc>
        <w:tc>
          <w:tcPr>
            <w:tcW w:w="3163" w:type="pct"/>
            <w:hideMark/>
          </w:tcPr>
          <w:p w:rsidR="004D52B7" w:rsidRDefault="00037902" w:rsidP="00DE083B">
            <w:pPr>
              <w:spacing w:after="0" w:line="240" w:lineRule="auto"/>
              <w:jc w:val="both"/>
              <w:rPr>
                <w:rFonts w:ascii="Times New Roman" w:hAnsi="Times New Roman"/>
                <w:sz w:val="24"/>
                <w:szCs w:val="24"/>
              </w:rPr>
            </w:pPr>
            <w:r>
              <w:rPr>
                <w:rFonts w:ascii="Times New Roman" w:hAnsi="Times New Roman"/>
                <w:sz w:val="24"/>
                <w:szCs w:val="24"/>
              </w:rPr>
              <w:t>Projekts publicēts Izglītības un zinātnes ministrijas tīmekļvietnē.</w:t>
            </w:r>
          </w:p>
          <w:p w:rsidR="00037902" w:rsidRPr="004D52B7" w:rsidRDefault="00037902" w:rsidP="00DE083B">
            <w:pPr>
              <w:spacing w:after="0" w:line="240" w:lineRule="auto"/>
              <w:jc w:val="both"/>
              <w:rPr>
                <w:rFonts w:ascii="Times New Roman" w:hAnsi="Times New Roman"/>
                <w:sz w:val="24"/>
                <w:szCs w:val="24"/>
              </w:rPr>
            </w:pPr>
            <w:r>
              <w:rPr>
                <w:rFonts w:ascii="Times New Roman" w:hAnsi="Times New Roman"/>
                <w:sz w:val="24"/>
                <w:szCs w:val="24"/>
              </w:rPr>
              <w:t>Izglītības un zinātnes ministrija lūgusi sniegt viedokli par projektu Latvijas Studentu apvienību, Latvijas Koledžu asociāciju un Rektoru padomi.</w:t>
            </w:r>
          </w:p>
        </w:tc>
      </w:tr>
      <w:tr w:rsidR="004D52B7" w:rsidRPr="004D52B7" w:rsidTr="00DE083B">
        <w:trPr>
          <w:trHeight w:val="330"/>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2.</w:t>
            </w:r>
          </w:p>
        </w:tc>
        <w:tc>
          <w:tcPr>
            <w:tcW w:w="1587"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Sabiedrības līdzdalība projekta izstrādē</w:t>
            </w:r>
          </w:p>
        </w:tc>
        <w:tc>
          <w:tcPr>
            <w:tcW w:w="3163" w:type="pct"/>
            <w:hideMark/>
          </w:tcPr>
          <w:p w:rsidR="00DE083B" w:rsidRPr="004D52B7" w:rsidRDefault="00037902" w:rsidP="00DE083B">
            <w:pPr>
              <w:spacing w:after="0" w:line="240" w:lineRule="auto"/>
              <w:jc w:val="both"/>
              <w:rPr>
                <w:rFonts w:ascii="Times New Roman" w:hAnsi="Times New Roman"/>
                <w:sz w:val="24"/>
                <w:szCs w:val="24"/>
              </w:rPr>
            </w:pPr>
            <w:r>
              <w:rPr>
                <w:rFonts w:ascii="Times New Roman" w:hAnsi="Times New Roman"/>
                <w:sz w:val="24"/>
                <w:szCs w:val="24"/>
              </w:rPr>
              <w:t>Tiks norādīta, iesniedzot projektu izskatīšanai Ministru kabinetā.</w:t>
            </w:r>
          </w:p>
        </w:tc>
      </w:tr>
      <w:tr w:rsidR="004D52B7" w:rsidRPr="004D52B7" w:rsidTr="00DE083B">
        <w:trPr>
          <w:trHeight w:val="465"/>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3.</w:t>
            </w:r>
          </w:p>
        </w:tc>
        <w:tc>
          <w:tcPr>
            <w:tcW w:w="1587"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Sabiedrības līdzdalības rezultāti</w:t>
            </w:r>
          </w:p>
        </w:tc>
        <w:tc>
          <w:tcPr>
            <w:tcW w:w="3163" w:type="pct"/>
            <w:hideMark/>
          </w:tcPr>
          <w:p w:rsidR="004D52B7" w:rsidRPr="004D52B7" w:rsidRDefault="00037902" w:rsidP="00A71E7A">
            <w:pPr>
              <w:spacing w:after="0" w:line="240" w:lineRule="auto"/>
              <w:jc w:val="both"/>
              <w:rPr>
                <w:rFonts w:ascii="Times New Roman" w:hAnsi="Times New Roman"/>
                <w:sz w:val="24"/>
                <w:szCs w:val="24"/>
              </w:rPr>
            </w:pPr>
            <w:r>
              <w:rPr>
                <w:rFonts w:ascii="Times New Roman" w:hAnsi="Times New Roman"/>
                <w:sz w:val="24"/>
                <w:szCs w:val="24"/>
              </w:rPr>
              <w:t>Tiks norādīta, iesniedzot projektu izskatīšanai Ministru kabinetā.</w:t>
            </w:r>
          </w:p>
        </w:tc>
      </w:tr>
      <w:tr w:rsidR="004D52B7" w:rsidRPr="004D52B7" w:rsidTr="00DE083B">
        <w:trPr>
          <w:trHeight w:val="465"/>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4.</w:t>
            </w:r>
          </w:p>
        </w:tc>
        <w:tc>
          <w:tcPr>
            <w:tcW w:w="1587"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Cita informācija</w:t>
            </w:r>
          </w:p>
        </w:tc>
        <w:tc>
          <w:tcPr>
            <w:tcW w:w="3163"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Nav.</w:t>
            </w:r>
          </w:p>
        </w:tc>
      </w:tr>
    </w:tbl>
    <w:p w:rsidR="004D52B7" w:rsidRPr="00BF122F" w:rsidRDefault="004D52B7" w:rsidP="00AC7447">
      <w:pPr>
        <w:spacing w:after="0" w:line="240" w:lineRule="auto"/>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58"/>
        <w:gridCol w:w="2835"/>
        <w:gridCol w:w="5848"/>
      </w:tblGrid>
      <w:tr w:rsidR="00AC7447" w:rsidRPr="00BF122F" w:rsidTr="00226CCE">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BF122F">
              <w:rPr>
                <w:rFonts w:ascii="Times New Roman" w:hAnsi="Times New Roman"/>
                <w:b/>
                <w:bCs/>
                <w:sz w:val="24"/>
                <w:szCs w:val="24"/>
              </w:rPr>
              <w:t>VII. Tiesību akta projekta izpildes nodrošināšana un tās ietekme uz institūcijām</w:t>
            </w:r>
          </w:p>
        </w:tc>
      </w:tr>
      <w:tr w:rsidR="00AC7447" w:rsidRPr="00BF122F" w:rsidTr="00DE083B">
        <w:trPr>
          <w:trHeight w:val="42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1.</w:t>
            </w:r>
          </w:p>
        </w:tc>
        <w:tc>
          <w:tcPr>
            <w:tcW w:w="1534"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izpildē iesaistītās institūcijas</w:t>
            </w:r>
          </w:p>
          <w:p w:rsidR="00AC7447" w:rsidRPr="00BF122F" w:rsidRDefault="00AC7447" w:rsidP="00226CCE">
            <w:pPr>
              <w:spacing w:after="0" w:line="240" w:lineRule="auto"/>
              <w:rPr>
                <w:rFonts w:ascii="Times New Roman" w:hAnsi="Times New Roman"/>
                <w:sz w:val="24"/>
                <w:szCs w:val="24"/>
              </w:rPr>
            </w:pPr>
          </w:p>
        </w:tc>
        <w:tc>
          <w:tcPr>
            <w:tcW w:w="3164" w:type="pct"/>
            <w:tcBorders>
              <w:top w:val="outset" w:sz="6" w:space="0" w:color="414142"/>
              <w:left w:val="single" w:sz="4" w:space="0" w:color="auto"/>
              <w:bottom w:val="outset" w:sz="6" w:space="0" w:color="414142"/>
              <w:right w:val="outset" w:sz="6" w:space="0" w:color="414142"/>
            </w:tcBorders>
            <w:hideMark/>
          </w:tcPr>
          <w:p w:rsidR="00AC7447" w:rsidRPr="00BF122F" w:rsidRDefault="00037902" w:rsidP="00A71E7A">
            <w:pPr>
              <w:spacing w:after="0" w:line="240" w:lineRule="auto"/>
              <w:jc w:val="both"/>
              <w:rPr>
                <w:rFonts w:ascii="Times New Roman" w:hAnsi="Times New Roman"/>
                <w:sz w:val="24"/>
                <w:szCs w:val="24"/>
              </w:rPr>
            </w:pPr>
            <w:r>
              <w:rPr>
                <w:rFonts w:ascii="Times New Roman" w:hAnsi="Times New Roman"/>
                <w:sz w:val="24"/>
                <w:szCs w:val="24"/>
              </w:rPr>
              <w:t>Augstskolas un koledžas, studētgribētāji.</w:t>
            </w:r>
          </w:p>
        </w:tc>
      </w:tr>
      <w:tr w:rsidR="00AC7447" w:rsidRPr="00BF122F" w:rsidTr="00DE083B">
        <w:trPr>
          <w:trHeight w:val="45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2.</w:t>
            </w:r>
          </w:p>
        </w:tc>
        <w:tc>
          <w:tcPr>
            <w:tcW w:w="1534"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izpildes ietekme uz pārvaldes funkcijām un institucionālo struktūru. Jaunu institūciju izveide, esošu institūciju likvidācija vai reorganizācija, to ietekme uz institūcijas cilvēkresursiem</w:t>
            </w:r>
          </w:p>
        </w:tc>
        <w:tc>
          <w:tcPr>
            <w:tcW w:w="3164" w:type="pct"/>
            <w:tcBorders>
              <w:top w:val="outset" w:sz="6" w:space="0" w:color="414142"/>
              <w:left w:val="single" w:sz="4" w:space="0" w:color="auto"/>
              <w:bottom w:val="outset" w:sz="6" w:space="0" w:color="414142"/>
              <w:right w:val="outset" w:sz="6" w:space="0" w:color="414142"/>
            </w:tcBorders>
            <w:hideMark/>
          </w:tcPr>
          <w:p w:rsidR="00AC7447" w:rsidRPr="00BF122F" w:rsidRDefault="009D2050" w:rsidP="00CB3D80">
            <w:pPr>
              <w:spacing w:after="0" w:line="240" w:lineRule="auto"/>
              <w:jc w:val="both"/>
              <w:rPr>
                <w:rFonts w:ascii="Times New Roman" w:hAnsi="Times New Roman"/>
                <w:sz w:val="24"/>
                <w:szCs w:val="24"/>
              </w:rPr>
            </w:pPr>
            <w:r>
              <w:rPr>
                <w:rFonts w:ascii="Times New Roman" w:hAnsi="Times New Roman"/>
                <w:sz w:val="24"/>
                <w:szCs w:val="24"/>
              </w:rPr>
              <w:t>Projekts šo jomu neskar.</w:t>
            </w:r>
          </w:p>
        </w:tc>
      </w:tr>
      <w:tr w:rsidR="00AC7447" w:rsidRPr="00BF122F" w:rsidTr="00DE083B">
        <w:trPr>
          <w:trHeight w:val="39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3.</w:t>
            </w:r>
          </w:p>
        </w:tc>
        <w:tc>
          <w:tcPr>
            <w:tcW w:w="1534"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164" w:type="pct"/>
            <w:tcBorders>
              <w:top w:val="outset" w:sz="6" w:space="0" w:color="414142"/>
              <w:left w:val="single" w:sz="4" w:space="0" w:color="auto"/>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p>
        </w:tc>
      </w:tr>
    </w:tbl>
    <w:p w:rsidR="00AC7447" w:rsidRPr="00BF122F" w:rsidRDefault="00AC7447" w:rsidP="00340FCC">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Pr>
          <w:rFonts w:ascii="Times New Roman" w:hAnsi="Times New Roman"/>
          <w:sz w:val="24"/>
          <w:szCs w:val="24"/>
        </w:rPr>
        <w:t xml:space="preserve"> </w:t>
      </w:r>
    </w:p>
    <w:p w:rsidR="00173F3D" w:rsidRDefault="00173F3D" w:rsidP="00173F3D">
      <w:pPr>
        <w:jc w:val="both"/>
        <w:rPr>
          <w:rFonts w:ascii="Times New Roman" w:hAnsi="Times New Roman"/>
          <w:sz w:val="24"/>
          <w:szCs w:val="24"/>
        </w:rPr>
      </w:pPr>
    </w:p>
    <w:p w:rsidR="00AC7447" w:rsidRDefault="00173F3D" w:rsidP="00DE083B">
      <w:pPr>
        <w:jc w:val="both"/>
        <w:rPr>
          <w:rFonts w:ascii="Times New Roman" w:hAnsi="Times New Roman"/>
          <w:sz w:val="24"/>
          <w:szCs w:val="24"/>
        </w:rPr>
      </w:pPr>
      <w:r>
        <w:rPr>
          <w:rFonts w:ascii="Times New Roman" w:hAnsi="Times New Roman"/>
          <w:sz w:val="24"/>
          <w:szCs w:val="24"/>
        </w:rPr>
        <w:t>Izglītības un zinātnes ministrs</w:t>
      </w:r>
      <w:r w:rsidR="00AC7447">
        <w:rPr>
          <w:rFonts w:ascii="Times New Roman" w:hAnsi="Times New Roman"/>
          <w:sz w:val="24"/>
          <w:szCs w:val="24"/>
        </w:rPr>
        <w:tab/>
      </w:r>
      <w:r w:rsidR="00AC7447" w:rsidRPr="006C7B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Kārlis Šadurskis</w:t>
      </w:r>
    </w:p>
    <w:p w:rsidR="00DE083B" w:rsidRDefault="00DE083B" w:rsidP="00DE083B">
      <w:pPr>
        <w:jc w:val="both"/>
        <w:rPr>
          <w:rFonts w:ascii="Times New Roman" w:hAnsi="Times New Roman"/>
          <w:sz w:val="24"/>
          <w:szCs w:val="24"/>
        </w:rPr>
      </w:pPr>
    </w:p>
    <w:p w:rsidR="00C01AD3" w:rsidRPr="00BF122F" w:rsidRDefault="009F4866" w:rsidP="009F4866">
      <w:pPr>
        <w:spacing w:after="0" w:line="240" w:lineRule="auto"/>
        <w:jc w:val="both"/>
        <w:rPr>
          <w:rFonts w:ascii="Times New Roman" w:hAnsi="Times New Roman"/>
          <w:sz w:val="24"/>
          <w:szCs w:val="24"/>
        </w:rPr>
      </w:pPr>
      <w:r>
        <w:rPr>
          <w:rFonts w:ascii="Times New Roman" w:hAnsi="Times New Roman"/>
          <w:sz w:val="24"/>
          <w:szCs w:val="24"/>
        </w:rPr>
        <w:t>Valsts sekretāre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Līga Lejiņa</w:t>
      </w:r>
    </w:p>
    <w:p w:rsidR="00AC7447" w:rsidRDefault="00AC7447" w:rsidP="00AC7447">
      <w:pPr>
        <w:spacing w:after="0" w:line="240" w:lineRule="auto"/>
        <w:rPr>
          <w:rFonts w:ascii="Times New Roman" w:hAnsi="Times New Roman"/>
          <w:sz w:val="26"/>
          <w:szCs w:val="26"/>
        </w:rPr>
      </w:pPr>
    </w:p>
    <w:p w:rsidR="00AC7447" w:rsidRPr="00BF122F" w:rsidRDefault="00AC7447" w:rsidP="00AC7447">
      <w:pPr>
        <w:spacing w:after="0" w:line="240" w:lineRule="auto"/>
        <w:rPr>
          <w:rFonts w:ascii="Times New Roman" w:hAnsi="Times New Roman"/>
          <w:sz w:val="26"/>
          <w:szCs w:val="26"/>
        </w:rPr>
      </w:pPr>
    </w:p>
    <w:p w:rsidR="00AC7447" w:rsidRPr="00BF122F" w:rsidRDefault="00AC7447" w:rsidP="00173F3D">
      <w:pPr>
        <w:spacing w:after="0" w:line="240" w:lineRule="auto"/>
        <w:rPr>
          <w:rFonts w:ascii="Times New Roman" w:eastAsiaTheme="minorHAnsi" w:hAnsi="Times New Roman" w:cs="Helv"/>
          <w:noProof/>
          <w:sz w:val="20"/>
          <w:szCs w:val="20"/>
          <w:lang w:eastAsia="en-US"/>
        </w:rPr>
      </w:pPr>
      <w:r>
        <w:rPr>
          <w:rFonts w:ascii="Times New Roman" w:eastAsiaTheme="minorHAnsi" w:hAnsi="Times New Roman" w:cs="Helv"/>
          <w:noProof/>
          <w:sz w:val="20"/>
          <w:szCs w:val="20"/>
          <w:lang w:eastAsia="en-US"/>
        </w:rPr>
        <w:t>L.Upīte, 67047816</w:t>
      </w:r>
    </w:p>
    <w:p w:rsidR="00300C3D" w:rsidRPr="00EF5711" w:rsidRDefault="00AC7447" w:rsidP="00EF5711">
      <w:pPr>
        <w:spacing w:after="0" w:line="240" w:lineRule="auto"/>
        <w:rPr>
          <w:rFonts w:ascii="Times New Roman" w:hAnsi="Times New Roman"/>
          <w:sz w:val="24"/>
          <w:szCs w:val="24"/>
        </w:rPr>
      </w:pPr>
      <w:r>
        <w:rPr>
          <w:rFonts w:ascii="Times New Roman" w:eastAsiaTheme="minorHAnsi" w:hAnsi="Times New Roman" w:cs="Helv"/>
          <w:noProof/>
          <w:sz w:val="20"/>
          <w:szCs w:val="20"/>
          <w:lang w:eastAsia="en-US"/>
        </w:rPr>
        <w:t>Linda.Upite@izm.gov.lv</w:t>
      </w:r>
    </w:p>
    <w:sectPr w:rsidR="00300C3D" w:rsidRPr="00EF5711" w:rsidSect="00226CCE">
      <w:headerReference w:type="default" r:id="rId13"/>
      <w:footerReference w:type="default" r:id="rId14"/>
      <w:footerReference w:type="first" r:id="rId15"/>
      <w:pgSz w:w="11906" w:h="16838"/>
      <w:pgMar w:top="851" w:right="849" w:bottom="184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20E" w:rsidRDefault="0006020E" w:rsidP="00AC7447">
      <w:pPr>
        <w:spacing w:after="0" w:line="240" w:lineRule="auto"/>
      </w:pPr>
      <w:r>
        <w:separator/>
      </w:r>
    </w:p>
  </w:endnote>
  <w:endnote w:type="continuationSeparator" w:id="0">
    <w:p w:rsidR="0006020E" w:rsidRDefault="0006020E" w:rsidP="00AC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CE" w:rsidRPr="00037902" w:rsidRDefault="00E46391" w:rsidP="00037902">
    <w:pPr>
      <w:spacing w:after="0" w:line="240" w:lineRule="auto"/>
      <w:jc w:val="both"/>
      <w:rPr>
        <w:rFonts w:ascii="Times New Roman" w:hAnsi="Times New Roman"/>
        <w:sz w:val="20"/>
        <w:szCs w:val="20"/>
      </w:rPr>
    </w:pPr>
    <w:r>
      <w:rPr>
        <w:rFonts w:ascii="Times New Roman" w:hAnsi="Times New Roman"/>
        <w:sz w:val="20"/>
        <w:szCs w:val="20"/>
      </w:rPr>
      <w:t>IZManot_21</w:t>
    </w:r>
    <w:r w:rsidR="00037902">
      <w:rPr>
        <w:rFonts w:ascii="Times New Roman" w:hAnsi="Times New Roman"/>
        <w:sz w:val="20"/>
        <w:szCs w:val="20"/>
      </w:rPr>
      <w:t>0818_uznem_not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CE" w:rsidRPr="00752704" w:rsidRDefault="00E46391" w:rsidP="00AC7447">
    <w:pPr>
      <w:spacing w:after="0" w:line="240" w:lineRule="auto"/>
      <w:jc w:val="both"/>
      <w:rPr>
        <w:rFonts w:ascii="Times New Roman" w:hAnsi="Times New Roman"/>
        <w:sz w:val="20"/>
        <w:szCs w:val="20"/>
      </w:rPr>
    </w:pPr>
    <w:r>
      <w:rPr>
        <w:rFonts w:ascii="Times New Roman" w:hAnsi="Times New Roman"/>
        <w:sz w:val="20"/>
        <w:szCs w:val="20"/>
      </w:rPr>
      <w:t>IZManot_21</w:t>
    </w:r>
    <w:r w:rsidR="00037902">
      <w:rPr>
        <w:rFonts w:ascii="Times New Roman" w:hAnsi="Times New Roman"/>
        <w:sz w:val="20"/>
        <w:szCs w:val="20"/>
      </w:rPr>
      <w:t>0818_uznem_not</w:t>
    </w:r>
  </w:p>
  <w:p w:rsidR="00226CCE" w:rsidRPr="00752704" w:rsidRDefault="00226CCE" w:rsidP="00226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20E" w:rsidRDefault="0006020E" w:rsidP="00AC7447">
      <w:pPr>
        <w:spacing w:after="0" w:line="240" w:lineRule="auto"/>
      </w:pPr>
      <w:r>
        <w:separator/>
      </w:r>
    </w:p>
  </w:footnote>
  <w:footnote w:type="continuationSeparator" w:id="0">
    <w:p w:rsidR="0006020E" w:rsidRDefault="0006020E" w:rsidP="00AC7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CE" w:rsidRDefault="00226CCE">
    <w:pPr>
      <w:pStyle w:val="Header"/>
      <w:jc w:val="center"/>
    </w:pPr>
    <w:r>
      <w:fldChar w:fldCharType="begin"/>
    </w:r>
    <w:r>
      <w:instrText xml:space="preserve"> PAGE   \* MERGEFORMAT </w:instrText>
    </w:r>
    <w:r>
      <w:fldChar w:fldCharType="separate"/>
    </w:r>
    <w:r w:rsidR="005012A4">
      <w:rPr>
        <w:noProof/>
      </w:rPr>
      <w:t>3</w:t>
    </w:r>
    <w:r>
      <w:rPr>
        <w:noProof/>
      </w:rPr>
      <w:fldChar w:fldCharType="end"/>
    </w:r>
  </w:p>
  <w:p w:rsidR="00226CCE" w:rsidRDefault="00226C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A7D56"/>
    <w:multiLevelType w:val="hybridMultilevel"/>
    <w:tmpl w:val="02BE7030"/>
    <w:lvl w:ilvl="0" w:tplc="3A067DD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4A6672C8"/>
    <w:multiLevelType w:val="hybridMultilevel"/>
    <w:tmpl w:val="810AD568"/>
    <w:lvl w:ilvl="0" w:tplc="26447FF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79"/>
    <w:rsid w:val="00005D88"/>
    <w:rsid w:val="00016138"/>
    <w:rsid w:val="00026F1E"/>
    <w:rsid w:val="00030492"/>
    <w:rsid w:val="00033841"/>
    <w:rsid w:val="00037902"/>
    <w:rsid w:val="0004354B"/>
    <w:rsid w:val="00050441"/>
    <w:rsid w:val="0006020E"/>
    <w:rsid w:val="00065A21"/>
    <w:rsid w:val="000C19D4"/>
    <w:rsid w:val="000E484F"/>
    <w:rsid w:val="0011539F"/>
    <w:rsid w:val="001334E1"/>
    <w:rsid w:val="00134467"/>
    <w:rsid w:val="00145D10"/>
    <w:rsid w:val="00167E30"/>
    <w:rsid w:val="00173F3D"/>
    <w:rsid w:val="001B09B6"/>
    <w:rsid w:val="001F6209"/>
    <w:rsid w:val="00200CD7"/>
    <w:rsid w:val="00203316"/>
    <w:rsid w:val="002055C7"/>
    <w:rsid w:val="00223B52"/>
    <w:rsid w:val="00226CCE"/>
    <w:rsid w:val="00235112"/>
    <w:rsid w:val="00237627"/>
    <w:rsid w:val="0023765D"/>
    <w:rsid w:val="002408F1"/>
    <w:rsid w:val="00246E70"/>
    <w:rsid w:val="00251A05"/>
    <w:rsid w:val="00264B4B"/>
    <w:rsid w:val="00282138"/>
    <w:rsid w:val="002A20B5"/>
    <w:rsid w:val="002B29C8"/>
    <w:rsid w:val="002B6B11"/>
    <w:rsid w:val="002B777B"/>
    <w:rsid w:val="002F6908"/>
    <w:rsid w:val="00300C3D"/>
    <w:rsid w:val="00304055"/>
    <w:rsid w:val="0031208B"/>
    <w:rsid w:val="00315A0E"/>
    <w:rsid w:val="00321CF4"/>
    <w:rsid w:val="003265CE"/>
    <w:rsid w:val="00340FCC"/>
    <w:rsid w:val="00343BFE"/>
    <w:rsid w:val="003662B7"/>
    <w:rsid w:val="00372BDC"/>
    <w:rsid w:val="003A1B77"/>
    <w:rsid w:val="003C0FC1"/>
    <w:rsid w:val="003D401B"/>
    <w:rsid w:val="003E31F2"/>
    <w:rsid w:val="003F145A"/>
    <w:rsid w:val="00403145"/>
    <w:rsid w:val="00407098"/>
    <w:rsid w:val="00450F5C"/>
    <w:rsid w:val="00464FA5"/>
    <w:rsid w:val="00477A77"/>
    <w:rsid w:val="004A0083"/>
    <w:rsid w:val="004A3201"/>
    <w:rsid w:val="004C33B0"/>
    <w:rsid w:val="004D52B7"/>
    <w:rsid w:val="004E18E0"/>
    <w:rsid w:val="005012A4"/>
    <w:rsid w:val="005064A2"/>
    <w:rsid w:val="005163E8"/>
    <w:rsid w:val="00532D48"/>
    <w:rsid w:val="005359EA"/>
    <w:rsid w:val="00572E54"/>
    <w:rsid w:val="005B6AC0"/>
    <w:rsid w:val="005E28CD"/>
    <w:rsid w:val="005F50A4"/>
    <w:rsid w:val="00605A85"/>
    <w:rsid w:val="00630039"/>
    <w:rsid w:val="006319DD"/>
    <w:rsid w:val="0066455F"/>
    <w:rsid w:val="006B3442"/>
    <w:rsid w:val="006C0B3F"/>
    <w:rsid w:val="006D2347"/>
    <w:rsid w:val="006F778E"/>
    <w:rsid w:val="007127BF"/>
    <w:rsid w:val="00722433"/>
    <w:rsid w:val="00726247"/>
    <w:rsid w:val="00733C65"/>
    <w:rsid w:val="00746776"/>
    <w:rsid w:val="00783E6B"/>
    <w:rsid w:val="007A434A"/>
    <w:rsid w:val="007B2DBE"/>
    <w:rsid w:val="007B5D2D"/>
    <w:rsid w:val="007C1FEB"/>
    <w:rsid w:val="007F303D"/>
    <w:rsid w:val="00813618"/>
    <w:rsid w:val="008217FF"/>
    <w:rsid w:val="0085317A"/>
    <w:rsid w:val="00853331"/>
    <w:rsid w:val="008737C4"/>
    <w:rsid w:val="008762C8"/>
    <w:rsid w:val="008936D5"/>
    <w:rsid w:val="008B33B3"/>
    <w:rsid w:val="008B3888"/>
    <w:rsid w:val="008B3DFD"/>
    <w:rsid w:val="008C1763"/>
    <w:rsid w:val="008C259D"/>
    <w:rsid w:val="008D0F2E"/>
    <w:rsid w:val="008E12E5"/>
    <w:rsid w:val="00906270"/>
    <w:rsid w:val="00937AA7"/>
    <w:rsid w:val="00944652"/>
    <w:rsid w:val="00944AC9"/>
    <w:rsid w:val="00953FFD"/>
    <w:rsid w:val="009548F1"/>
    <w:rsid w:val="009C695E"/>
    <w:rsid w:val="009D2050"/>
    <w:rsid w:val="009F4866"/>
    <w:rsid w:val="00A018BD"/>
    <w:rsid w:val="00A07D37"/>
    <w:rsid w:val="00A26A13"/>
    <w:rsid w:val="00A27191"/>
    <w:rsid w:val="00A34D52"/>
    <w:rsid w:val="00A42DFF"/>
    <w:rsid w:val="00A50F90"/>
    <w:rsid w:val="00A65208"/>
    <w:rsid w:val="00A71E7A"/>
    <w:rsid w:val="00A734A7"/>
    <w:rsid w:val="00A84332"/>
    <w:rsid w:val="00AC296F"/>
    <w:rsid w:val="00AC7447"/>
    <w:rsid w:val="00AE24A7"/>
    <w:rsid w:val="00AF0535"/>
    <w:rsid w:val="00B074B6"/>
    <w:rsid w:val="00B14F1C"/>
    <w:rsid w:val="00B44DA5"/>
    <w:rsid w:val="00B648F5"/>
    <w:rsid w:val="00B66088"/>
    <w:rsid w:val="00B70B6C"/>
    <w:rsid w:val="00BA5E48"/>
    <w:rsid w:val="00BD7CB9"/>
    <w:rsid w:val="00BE0E04"/>
    <w:rsid w:val="00BE6A9B"/>
    <w:rsid w:val="00BF2BE6"/>
    <w:rsid w:val="00C01AD3"/>
    <w:rsid w:val="00C058B9"/>
    <w:rsid w:val="00C40760"/>
    <w:rsid w:val="00C40ED2"/>
    <w:rsid w:val="00C67231"/>
    <w:rsid w:val="00C75B9A"/>
    <w:rsid w:val="00C76C15"/>
    <w:rsid w:val="00C76F1C"/>
    <w:rsid w:val="00C928F4"/>
    <w:rsid w:val="00CA5457"/>
    <w:rsid w:val="00CA5AF7"/>
    <w:rsid w:val="00CA7623"/>
    <w:rsid w:val="00CB3D80"/>
    <w:rsid w:val="00CE41AF"/>
    <w:rsid w:val="00CF4535"/>
    <w:rsid w:val="00CF5549"/>
    <w:rsid w:val="00D12779"/>
    <w:rsid w:val="00D40462"/>
    <w:rsid w:val="00D4258B"/>
    <w:rsid w:val="00D45E27"/>
    <w:rsid w:val="00D51991"/>
    <w:rsid w:val="00D528A9"/>
    <w:rsid w:val="00D57023"/>
    <w:rsid w:val="00D6569F"/>
    <w:rsid w:val="00D67CCB"/>
    <w:rsid w:val="00D928E3"/>
    <w:rsid w:val="00D9761E"/>
    <w:rsid w:val="00DA7418"/>
    <w:rsid w:val="00DD5B47"/>
    <w:rsid w:val="00DE083B"/>
    <w:rsid w:val="00DF7300"/>
    <w:rsid w:val="00E0174A"/>
    <w:rsid w:val="00E345CB"/>
    <w:rsid w:val="00E46391"/>
    <w:rsid w:val="00E47C03"/>
    <w:rsid w:val="00E52D95"/>
    <w:rsid w:val="00E616C2"/>
    <w:rsid w:val="00E95407"/>
    <w:rsid w:val="00EC55BB"/>
    <w:rsid w:val="00EC7ED3"/>
    <w:rsid w:val="00ED00CB"/>
    <w:rsid w:val="00ED4A08"/>
    <w:rsid w:val="00ED73F4"/>
    <w:rsid w:val="00EF2D6D"/>
    <w:rsid w:val="00EF5711"/>
    <w:rsid w:val="00F20402"/>
    <w:rsid w:val="00F32A06"/>
    <w:rsid w:val="00F4020C"/>
    <w:rsid w:val="00F40809"/>
    <w:rsid w:val="00F47765"/>
    <w:rsid w:val="00F616C0"/>
    <w:rsid w:val="00F70CB3"/>
    <w:rsid w:val="00F72069"/>
    <w:rsid w:val="00F7222B"/>
    <w:rsid w:val="00F82037"/>
    <w:rsid w:val="00F87681"/>
    <w:rsid w:val="00F9228D"/>
    <w:rsid w:val="00F95E2A"/>
    <w:rsid w:val="00FB1489"/>
    <w:rsid w:val="00FB554E"/>
    <w:rsid w:val="00FD2679"/>
    <w:rsid w:val="00FF4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AADD8D-B024-4056-AE96-D2852A4A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447"/>
    <w:pPr>
      <w:spacing w:after="200" w:line="276" w:lineRule="auto"/>
    </w:pPr>
    <w:rPr>
      <w:rFonts w:ascii="Calibri" w:eastAsia="Times New Roman"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447"/>
    <w:rPr>
      <w:color w:val="0000FF"/>
      <w:u w:val="single"/>
    </w:rPr>
  </w:style>
  <w:style w:type="paragraph" w:customStyle="1" w:styleId="tv20787921">
    <w:name w:val="tv207_87_921"/>
    <w:basedOn w:val="Normal"/>
    <w:rsid w:val="00AC7447"/>
    <w:pPr>
      <w:spacing w:after="567" w:line="360" w:lineRule="auto"/>
      <w:jc w:val="center"/>
    </w:pPr>
    <w:rPr>
      <w:rFonts w:ascii="Verdana" w:hAnsi="Verdana"/>
      <w:b/>
      <w:bCs/>
      <w:sz w:val="28"/>
      <w:szCs w:val="28"/>
    </w:rPr>
  </w:style>
  <w:style w:type="paragraph" w:customStyle="1" w:styleId="naisf">
    <w:name w:val="naisf"/>
    <w:basedOn w:val="Normal"/>
    <w:rsid w:val="00AC7447"/>
    <w:pPr>
      <w:spacing w:before="75" w:after="75" w:line="240" w:lineRule="auto"/>
      <w:ind w:firstLine="375"/>
      <w:jc w:val="both"/>
    </w:pPr>
    <w:rPr>
      <w:rFonts w:ascii="Times New Roman" w:hAnsi="Times New Roman"/>
      <w:sz w:val="24"/>
      <w:szCs w:val="24"/>
    </w:rPr>
  </w:style>
  <w:style w:type="paragraph" w:styleId="Header">
    <w:name w:val="header"/>
    <w:basedOn w:val="Normal"/>
    <w:link w:val="HeaderChar"/>
    <w:uiPriority w:val="99"/>
    <w:unhideWhenUsed/>
    <w:rsid w:val="00AC74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447"/>
    <w:rPr>
      <w:rFonts w:ascii="Calibri" w:eastAsia="Times New Roman" w:hAnsi="Calibri" w:cs="Times New Roman"/>
      <w:lang w:eastAsia="lv-LV"/>
    </w:rPr>
  </w:style>
  <w:style w:type="paragraph" w:styleId="Footer">
    <w:name w:val="footer"/>
    <w:basedOn w:val="Normal"/>
    <w:link w:val="FooterChar"/>
    <w:uiPriority w:val="99"/>
    <w:unhideWhenUsed/>
    <w:rsid w:val="00AC74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447"/>
    <w:rPr>
      <w:rFonts w:ascii="Calibri" w:eastAsia="Times New Roman" w:hAnsi="Calibri" w:cs="Times New Roman"/>
      <w:lang w:eastAsia="lv-LV"/>
    </w:rPr>
  </w:style>
  <w:style w:type="paragraph" w:styleId="ListParagraph">
    <w:name w:val="List Paragraph"/>
    <w:basedOn w:val="Normal"/>
    <w:uiPriority w:val="99"/>
    <w:qFormat/>
    <w:rsid w:val="00AC7447"/>
    <w:pPr>
      <w:ind w:left="720"/>
      <w:contextualSpacing/>
    </w:pPr>
  </w:style>
  <w:style w:type="table" w:styleId="TableGrid">
    <w:name w:val="Table Grid"/>
    <w:basedOn w:val="TableNormal"/>
    <w:uiPriority w:val="39"/>
    <w:rsid w:val="004D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6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A13"/>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61570">
      <w:bodyDiv w:val="1"/>
      <w:marLeft w:val="0"/>
      <w:marRight w:val="0"/>
      <w:marTop w:val="0"/>
      <w:marBottom w:val="0"/>
      <w:divBdr>
        <w:top w:val="none" w:sz="0" w:space="0" w:color="auto"/>
        <w:left w:val="none" w:sz="0" w:space="0" w:color="auto"/>
        <w:bottom w:val="none" w:sz="0" w:space="0" w:color="auto"/>
        <w:right w:val="none" w:sz="0" w:space="0" w:color="auto"/>
      </w:divBdr>
      <w:divsChild>
        <w:div w:id="1720666845">
          <w:marLeft w:val="0"/>
          <w:marRight w:val="0"/>
          <w:marTop w:val="0"/>
          <w:marBottom w:val="0"/>
          <w:divBdr>
            <w:top w:val="none" w:sz="0" w:space="0" w:color="auto"/>
            <w:left w:val="none" w:sz="0" w:space="0" w:color="auto"/>
            <w:bottom w:val="none" w:sz="0" w:space="0" w:color="auto"/>
            <w:right w:val="none" w:sz="0" w:space="0" w:color="auto"/>
          </w:divBdr>
          <w:divsChild>
            <w:div w:id="2026863047">
              <w:marLeft w:val="0"/>
              <w:marRight w:val="0"/>
              <w:marTop w:val="0"/>
              <w:marBottom w:val="0"/>
              <w:divBdr>
                <w:top w:val="none" w:sz="0" w:space="0" w:color="auto"/>
                <w:left w:val="none" w:sz="0" w:space="0" w:color="auto"/>
                <w:bottom w:val="none" w:sz="0" w:space="0" w:color="auto"/>
                <w:right w:val="none" w:sz="0" w:space="0" w:color="auto"/>
              </w:divBdr>
              <w:divsChild>
                <w:div w:id="457721807">
                  <w:marLeft w:val="0"/>
                  <w:marRight w:val="0"/>
                  <w:marTop w:val="0"/>
                  <w:marBottom w:val="0"/>
                  <w:divBdr>
                    <w:top w:val="none" w:sz="0" w:space="0" w:color="auto"/>
                    <w:left w:val="none" w:sz="0" w:space="0" w:color="auto"/>
                    <w:bottom w:val="none" w:sz="0" w:space="0" w:color="auto"/>
                    <w:right w:val="none" w:sz="0" w:space="0" w:color="auto"/>
                  </w:divBdr>
                  <w:divsChild>
                    <w:div w:id="99953147">
                      <w:marLeft w:val="0"/>
                      <w:marRight w:val="0"/>
                      <w:marTop w:val="0"/>
                      <w:marBottom w:val="0"/>
                      <w:divBdr>
                        <w:top w:val="none" w:sz="0" w:space="0" w:color="auto"/>
                        <w:left w:val="none" w:sz="0" w:space="0" w:color="auto"/>
                        <w:bottom w:val="none" w:sz="0" w:space="0" w:color="auto"/>
                        <w:right w:val="none" w:sz="0" w:space="0" w:color="auto"/>
                      </w:divBdr>
                      <w:divsChild>
                        <w:div w:id="1528638560">
                          <w:marLeft w:val="0"/>
                          <w:marRight w:val="0"/>
                          <w:marTop w:val="0"/>
                          <w:marBottom w:val="0"/>
                          <w:divBdr>
                            <w:top w:val="none" w:sz="0" w:space="0" w:color="auto"/>
                            <w:left w:val="none" w:sz="0" w:space="0" w:color="auto"/>
                            <w:bottom w:val="none" w:sz="0" w:space="0" w:color="auto"/>
                            <w:right w:val="none" w:sz="0" w:space="0" w:color="auto"/>
                          </w:divBdr>
                          <w:divsChild>
                            <w:div w:id="16084679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el.org/compare-english-language-test-scor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opass.cedefop.europa.eu/sites/default/files/%20cefr-en.pdf" TargetMode="External"/><Relationship Id="rId12" Type="http://schemas.openxmlformats.org/officeDocument/2006/relationships/hyperlink" Target="https://www.efset.org/english-sco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bp.blogspot.com/-NUdfsmprgyw/UtbzQ9gVByI/%20AAAAAAAAGfs/DdCqrMzECRw/s1600/Comparison+of+CEF+levels+and+scores+for+the+various+exams.jp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2.bp.blogspot.com/-QeBUZTKQhfs/UtbzDQdfePI/%20AAAAAAAAGfk/0a5fjncl7to/s1600/TOEFL+Equivalency+Table.jpg" TargetMode="External"/><Relationship Id="rId4" Type="http://schemas.openxmlformats.org/officeDocument/2006/relationships/webSettings" Target="webSettings.xml"/><Relationship Id="rId9" Type="http://schemas.openxmlformats.org/officeDocument/2006/relationships/hyperlink" Target="https://engexam.info/iel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9746</Words>
  <Characters>5556</Characters>
  <Application>Microsoft Office Word</Application>
  <DocSecurity>4</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Upīte</dc:creator>
  <cp:keywords/>
  <dc:description/>
  <cp:lastModifiedBy>Linda Upīte</cp:lastModifiedBy>
  <cp:revision>2</cp:revision>
  <dcterms:created xsi:type="dcterms:W3CDTF">2018-09-05T07:22:00Z</dcterms:created>
  <dcterms:modified xsi:type="dcterms:W3CDTF">2018-09-05T07:22:00Z</dcterms:modified>
</cp:coreProperties>
</file>