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7145" w14:textId="40A7B106" w:rsidR="00604691" w:rsidRDefault="00604691" w:rsidP="00604691">
      <w:pPr>
        <w:spacing w:line="276" w:lineRule="auto"/>
        <w:jc w:val="right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2.pielikums</w:t>
      </w:r>
    </w:p>
    <w:p w14:paraId="60E93E14" w14:textId="77777777" w:rsidR="00604691" w:rsidRDefault="00604691" w:rsidP="00604691">
      <w:pPr>
        <w:spacing w:line="276" w:lineRule="auto"/>
        <w:jc w:val="right"/>
        <w:rPr>
          <w:bCs/>
          <w:i/>
          <w:sz w:val="24"/>
          <w:szCs w:val="24"/>
          <w:lang w:val="lv-LV" w:eastAsia="en-US"/>
        </w:rPr>
      </w:pPr>
      <w:r w:rsidRPr="007267BC">
        <w:rPr>
          <w:bCs/>
          <w:i/>
          <w:sz w:val="24"/>
          <w:szCs w:val="24"/>
          <w:lang w:val="lv-LV" w:eastAsia="en-US"/>
        </w:rPr>
        <w:t>Par balss telefonijas pakalpojumu nodrošināšanu</w:t>
      </w:r>
    </w:p>
    <w:p w14:paraId="1A1FA7C6" w14:textId="77777777" w:rsidR="00604691" w:rsidRDefault="00604691" w:rsidP="00ED4E33">
      <w:pPr>
        <w:spacing w:line="276" w:lineRule="auto"/>
        <w:jc w:val="center"/>
        <w:rPr>
          <w:b/>
          <w:sz w:val="24"/>
          <w:szCs w:val="24"/>
          <w:lang w:val="lv-LV"/>
        </w:rPr>
      </w:pPr>
    </w:p>
    <w:p w14:paraId="1A327ACF" w14:textId="7C3F0E97" w:rsidR="00ED4E33" w:rsidRDefault="00ED4E33" w:rsidP="00ED4E33">
      <w:pPr>
        <w:spacing w:line="276" w:lineRule="auto"/>
        <w:jc w:val="center"/>
        <w:rPr>
          <w:b/>
          <w:sz w:val="24"/>
          <w:szCs w:val="24"/>
          <w:lang w:val="lv-LV"/>
        </w:rPr>
      </w:pPr>
      <w:r w:rsidRPr="007267BC">
        <w:rPr>
          <w:b/>
          <w:sz w:val="24"/>
          <w:szCs w:val="24"/>
          <w:lang w:val="lv-LV"/>
        </w:rPr>
        <w:t>Finanšu piedāvājums</w:t>
      </w:r>
    </w:p>
    <w:p w14:paraId="627B4AEC" w14:textId="363FF6DA" w:rsidR="00065FB6" w:rsidRPr="007267BC" w:rsidRDefault="00065FB6" w:rsidP="00ED4E33">
      <w:pPr>
        <w:spacing w:line="276" w:lineRule="auto"/>
        <w:jc w:val="center"/>
        <w:rPr>
          <w:bCs/>
          <w:i/>
          <w:sz w:val="24"/>
          <w:szCs w:val="24"/>
          <w:lang w:val="lv-LV" w:eastAsia="en-US"/>
        </w:rPr>
      </w:pPr>
      <w:r w:rsidRPr="00065FB6">
        <w:rPr>
          <w:bCs/>
          <w:i/>
          <w:sz w:val="24"/>
          <w:szCs w:val="24"/>
          <w:lang w:val="lv-LV" w:eastAsia="en-US"/>
        </w:rPr>
        <w:t>SIA “_________” piedāvājums</w:t>
      </w:r>
    </w:p>
    <w:p w14:paraId="56ACD6BF" w14:textId="77777777" w:rsidR="00ED4E33" w:rsidRPr="007267BC" w:rsidRDefault="00ED4E33" w:rsidP="00ED4E33">
      <w:pPr>
        <w:spacing w:line="276" w:lineRule="auto"/>
        <w:rPr>
          <w:sz w:val="24"/>
          <w:szCs w:val="24"/>
          <w:lang w:val="lv-LV"/>
        </w:rPr>
      </w:pPr>
    </w:p>
    <w:tbl>
      <w:tblPr>
        <w:tblW w:w="988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54"/>
        <w:gridCol w:w="2843"/>
        <w:gridCol w:w="709"/>
        <w:gridCol w:w="1276"/>
        <w:gridCol w:w="839"/>
        <w:gridCol w:w="1429"/>
        <w:gridCol w:w="885"/>
        <w:gridCol w:w="1350"/>
      </w:tblGrid>
      <w:tr w:rsidR="00ED4E33" w:rsidRPr="007267BC" w14:paraId="0EE5B598" w14:textId="77777777" w:rsidTr="003356CD">
        <w:trPr>
          <w:trHeight w:val="570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4264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Nr.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CA78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Pakalpojums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5D20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Vie-nība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4E18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Pakalpoju-ma cena par 1 vienību (EUR bez PVN)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4C6" w14:textId="77777777" w:rsidR="00ED4E33" w:rsidRPr="007267BC" w:rsidRDefault="00ED4E33" w:rsidP="00627AA5">
            <w:pPr>
              <w:spacing w:line="276" w:lineRule="auto"/>
              <w:jc w:val="center"/>
              <w:rPr>
                <w:rStyle w:val="FootnoteReference"/>
                <w:sz w:val="18"/>
                <w:szCs w:val="18"/>
                <w:lang w:val="lv-LV"/>
              </w:rPr>
            </w:pPr>
            <w:bookmarkStart w:id="0" w:name="RANGE!E1"/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Vie-nību skaits</w:t>
            </w:r>
            <w:bookmarkEnd w:id="0"/>
            <w:r w:rsidRPr="007267BC">
              <w:rPr>
                <w:rStyle w:val="FootnoteReference"/>
                <w:b/>
                <w:bCs/>
                <w:color w:val="000000"/>
                <w:sz w:val="18"/>
                <w:szCs w:val="18"/>
                <w:lang w:val="lv-LV"/>
              </w:rPr>
              <w:footnoteReference w:id="1"/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728B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Pakalpojuma cena par norādīto vienību skaitu (EUR bez PVN)                     </w:t>
            </w: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((4) x (5))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0454" w14:textId="77777777" w:rsidR="00ED4E33" w:rsidRPr="007267BC" w:rsidRDefault="00ED4E33" w:rsidP="00627AA5">
            <w:pPr>
              <w:spacing w:line="276" w:lineRule="auto"/>
              <w:jc w:val="center"/>
              <w:rPr>
                <w:rStyle w:val="FootnoteReference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>Mēnešu skaits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EF72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b/>
                <w:bCs/>
                <w:color w:val="000000"/>
                <w:sz w:val="18"/>
                <w:szCs w:val="18"/>
                <w:lang w:val="lv-LV"/>
              </w:rPr>
              <w:t xml:space="preserve">Kopējā pakalpojuma cena (EUR bez PVN)                        </w:t>
            </w: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((6) x (7))</w:t>
            </w:r>
          </w:p>
        </w:tc>
      </w:tr>
      <w:tr w:rsidR="00ED4E33" w:rsidRPr="007267BC" w14:paraId="3615CA38" w14:textId="77777777" w:rsidTr="003356CD">
        <w:trPr>
          <w:trHeight w:val="1005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3F25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2764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C9B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DF67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5BFF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F67D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03BB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1378" w14:textId="77777777" w:rsidR="00ED4E33" w:rsidRPr="007267BC" w:rsidRDefault="00ED4E33" w:rsidP="00627AA5">
            <w:pPr>
              <w:spacing w:line="276" w:lineRule="auto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796FECBB" w14:textId="77777777" w:rsidTr="003356CD">
        <w:trPr>
          <w:trHeight w:val="3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846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(1)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6EC7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11E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A28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(4)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DB4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(5)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EE5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(6)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7C1F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(7)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B5AA" w14:textId="77777777" w:rsidR="00ED4E33" w:rsidRPr="007267BC" w:rsidRDefault="00ED4E33" w:rsidP="00627AA5">
            <w:pPr>
              <w:spacing w:line="276" w:lineRule="auto"/>
              <w:jc w:val="center"/>
              <w:rPr>
                <w:i/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>(8)</w:t>
            </w:r>
          </w:p>
        </w:tc>
      </w:tr>
      <w:tr w:rsidR="00ED4E33" w:rsidRPr="007267BC" w14:paraId="7DC6680C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C80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A052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 xml:space="preserve">IP telefonijas risinājuma ierīkošana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3E7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F21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F8D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B7C0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3FAE" w14:textId="37AC0E68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C4A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627CCB28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0B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51B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IP telefonijas risinājuma ikmēneša abonēšana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418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CD27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223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6C88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663D" w14:textId="542EBFF5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FAE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3479ABB7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9CD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095F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 xml:space="preserve">SIP līniju </w:t>
            </w:r>
            <w:r w:rsidRPr="007267BC">
              <w:rPr>
                <w:iCs/>
                <w:color w:val="000000"/>
                <w:sz w:val="18"/>
                <w:szCs w:val="18"/>
                <w:lang w:val="lv-LV"/>
              </w:rPr>
              <w:t>ikmēneša</w:t>
            </w:r>
            <w:bookmarkStart w:id="1" w:name="_GoBack"/>
            <w:bookmarkEnd w:id="1"/>
            <w:r w:rsidRPr="007267BC">
              <w:rPr>
                <w:i/>
                <w:iCs/>
                <w:color w:val="000000"/>
                <w:sz w:val="18"/>
                <w:szCs w:val="18"/>
                <w:lang w:val="lv-LV"/>
              </w:rPr>
              <w:t xml:space="preserve"> </w:t>
            </w:r>
            <w:r w:rsidRPr="007267BC">
              <w:rPr>
                <w:color w:val="000000"/>
                <w:sz w:val="18"/>
                <w:szCs w:val="18"/>
                <w:lang w:val="lv-LV"/>
              </w:rPr>
              <w:t xml:space="preserve">abonēšana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4A90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7A57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112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E6AF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7A4C" w14:textId="5B37B83E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B4B0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7CAE1757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4E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48C9" w14:textId="77777777" w:rsidR="00ED4E33" w:rsidRPr="007267BC" w:rsidRDefault="00ED4E33" w:rsidP="00627AA5">
            <w:pPr>
              <w:spacing w:line="276" w:lineRule="auto"/>
              <w:rPr>
                <w:iCs/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IP telefona pieslēgvietas ikmēneša abonēšana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0E3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A9C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C6D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BD6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2B6D" w14:textId="47E9ACDE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DCF9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40955301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46B9" w14:textId="527194CF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E433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IP telefonu ikmēneša noma (1. tips)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4CD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FB6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02C5" w14:textId="6A2E649E" w:rsidR="00ED4E33" w:rsidRPr="007267BC" w:rsidRDefault="00ED4E33" w:rsidP="00627AA5">
            <w:pPr>
              <w:spacing w:line="276" w:lineRule="auto"/>
              <w:jc w:val="center"/>
              <w:rPr>
                <w:color w:val="FFFFFF" w:themeColor="background1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1870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2C86" w14:textId="214FC484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CE1F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3B23F50F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BBD" w14:textId="7E35D00A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FB5A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IP telefonu ikmēneša noma (2. tips)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6F6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B097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84B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737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44B1" w14:textId="1260BF87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1770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01482027" w14:textId="77777777" w:rsidTr="003356CD">
        <w:trPr>
          <w:trHeight w:val="4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2454" w14:textId="5FC39565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8939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IP telefona paplašinājuma bloka ikmēneša noma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05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8A4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2681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F2BD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0844" w14:textId="3832CCA8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D6BE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6544BFA3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10A" w14:textId="596696A2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14D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IVR shēmas izveide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60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58A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2F5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8E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87D4" w14:textId="0FE227F8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9C4B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1B79E8A0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A9E" w14:textId="2B645FA5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02D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IVR shēmas ikmēneša uzturēšana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D1B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BAAF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2AD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6E4A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E5BF" w14:textId="6C35B187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BA8F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5B1BC271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1273" w14:textId="4C90993B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94D4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IVR paziņojumu ierakstīšana</w:t>
            </w:r>
            <w:r w:rsidRPr="007267BC">
              <w:rPr>
                <w:rStyle w:val="FootnoteReference"/>
                <w:color w:val="000000"/>
                <w:sz w:val="18"/>
                <w:szCs w:val="18"/>
                <w:lang w:val="lv-LV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4B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F5AC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EAC7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0B8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1FC1" w14:textId="10D6F10B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X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E870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7DEAC49C" w14:textId="77777777" w:rsidTr="003356CD">
        <w:trPr>
          <w:trHeight w:val="51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4AE6" w14:textId="47C83780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2CA7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Sarunu ierakstu glabāšanas pakalpojums (2000 min.)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700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3E0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F25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2FF1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2FEE" w14:textId="4BF016F3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F35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1A6590AE" w14:textId="77777777" w:rsidTr="003356CD">
        <w:trPr>
          <w:trHeight w:val="4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524" w14:textId="6F4A54CA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1</w:t>
            </w:r>
            <w:r w:rsidR="00CA35C8">
              <w:rPr>
                <w:color w:val="000000"/>
                <w:sz w:val="18"/>
                <w:szCs w:val="18"/>
                <w:lang w:val="lv-LV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248" w14:textId="2E18AA9D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 xml:space="preserve">Zvani uz </w:t>
            </w:r>
            <w:r w:rsidR="00133D2F">
              <w:rPr>
                <w:color w:val="000000"/>
                <w:sz w:val="18"/>
                <w:szCs w:val="18"/>
                <w:lang w:val="lv-LV"/>
              </w:rPr>
              <w:t>Tet</w:t>
            </w:r>
            <w:r w:rsidRPr="007267BC">
              <w:rPr>
                <w:color w:val="000000"/>
                <w:sz w:val="18"/>
                <w:szCs w:val="18"/>
                <w:lang w:val="lv-LV"/>
              </w:rPr>
              <w:t xml:space="preserve"> fiksēto sakaru tīklu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D39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C34A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9E4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3D6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3497" w14:textId="18E7A6E1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6A15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5C070C93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02A" w14:textId="5093B29B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1</w:t>
            </w:r>
            <w:r w:rsidR="00CA35C8">
              <w:rPr>
                <w:color w:val="000000"/>
                <w:sz w:val="18"/>
                <w:szCs w:val="18"/>
                <w:lang w:val="lv-LV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3A3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CSC Telecom fiksēto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EFE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B1FA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ADD8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123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53D2" w14:textId="4E376E26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6D98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1F669536" w14:textId="77777777" w:rsidTr="003356CD">
        <w:trPr>
          <w:trHeight w:val="49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51A0" w14:textId="6DDCF11B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1</w:t>
            </w:r>
            <w:r w:rsidR="00CA35C8">
              <w:rPr>
                <w:color w:val="000000"/>
                <w:sz w:val="18"/>
                <w:szCs w:val="18"/>
                <w:lang w:val="lv-LV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206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pārējiem sakaru  tīkliem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EAD1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14F7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14A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45F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D77" w14:textId="1AF454F5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D052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6AB9956B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EDAB" w14:textId="5A6A4E7C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83AD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LMT mobilo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536D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2C5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610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A44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59D6" w14:textId="0D744AA6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2E43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35700BB8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098" w14:textId="6F2C6DB1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CF9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Tele2 mobilo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9B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390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DCE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D905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70C1" w14:textId="2ABBE08A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7116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01CDAE85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A90" w14:textId="5A57EC27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CC2F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Bite mobilo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7E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AF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030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3E6C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7A04" w14:textId="50086741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E1E9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2691A75D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D5FE" w14:textId="1234CBDB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5B86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EEZ fiksēto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03E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FDFE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F40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B86F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DA5" w14:textId="2E950282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8C2F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61677836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EC8" w14:textId="735887A0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19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D0E3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EEZ mobilo sakaru tīklu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7354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0F58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74CB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50B6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1C1A" w14:textId="512D872A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DDF3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021C7698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8DA7" w14:textId="766127F0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20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17EE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Zvani uz citām ārvalstīm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49D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min.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DE51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6C1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highlight w:val="cyan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EF9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D86" w14:textId="5B8839C5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3A11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  <w:tr w:rsidR="00ED4E33" w:rsidRPr="007267BC" w14:paraId="23A66863" w14:textId="77777777" w:rsidTr="003356CD">
        <w:trPr>
          <w:trHeight w:val="4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6596" w14:textId="64EEE46E" w:rsidR="00ED4E33" w:rsidRPr="007267BC" w:rsidRDefault="00CA35C8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21</w:t>
            </w:r>
          </w:p>
        </w:tc>
        <w:tc>
          <w:tcPr>
            <w:tcW w:w="2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E017" w14:textId="77777777" w:rsidR="00ED4E33" w:rsidRPr="007267BC" w:rsidRDefault="00ED4E33" w:rsidP="00627AA5">
            <w:pPr>
              <w:spacing w:line="276" w:lineRule="auto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Maksa par savienojumu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D6D3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 w:rsidRPr="007267BC">
              <w:rPr>
                <w:color w:val="000000"/>
                <w:sz w:val="18"/>
                <w:szCs w:val="18"/>
                <w:lang w:val="lv-LV"/>
              </w:rPr>
              <w:t>gab.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6240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05FF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CBD2" w14:textId="77777777" w:rsidR="00ED4E33" w:rsidRPr="007267BC" w:rsidRDefault="00ED4E33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1C5E" w14:textId="3BB89F0A" w:rsidR="00ED4E33" w:rsidRPr="007267BC" w:rsidRDefault="00C15CFC" w:rsidP="00627AA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lv-LV"/>
              </w:rPr>
            </w:pPr>
            <w:r>
              <w:rPr>
                <w:color w:val="000000"/>
                <w:sz w:val="18"/>
                <w:szCs w:val="18"/>
                <w:lang w:val="lv-LV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1D44" w14:textId="77777777" w:rsidR="00ED4E33" w:rsidRPr="007267BC" w:rsidRDefault="00ED4E33" w:rsidP="00627AA5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lv-LV"/>
              </w:rPr>
            </w:pPr>
          </w:p>
        </w:tc>
      </w:tr>
    </w:tbl>
    <w:p w14:paraId="41FF57A9" w14:textId="77777777" w:rsidR="00ED4E33" w:rsidRPr="007267BC" w:rsidRDefault="00ED4E33" w:rsidP="00ED4E33">
      <w:pPr>
        <w:spacing w:line="276" w:lineRule="auto"/>
        <w:jc w:val="center"/>
        <w:rPr>
          <w:sz w:val="24"/>
          <w:szCs w:val="24"/>
          <w:highlight w:val="yellow"/>
          <w:lang w:val="lv-LV"/>
        </w:rPr>
      </w:pPr>
    </w:p>
    <w:p w14:paraId="7BD2C2FC" w14:textId="77777777" w:rsidR="00ED4E33" w:rsidRPr="007267BC" w:rsidRDefault="00ED4E33" w:rsidP="00ED4E33">
      <w:pPr>
        <w:spacing w:line="276" w:lineRule="auto"/>
        <w:jc w:val="center"/>
        <w:rPr>
          <w:sz w:val="24"/>
          <w:szCs w:val="24"/>
          <w:highlight w:val="yellow"/>
          <w:lang w:val="lv-LV"/>
        </w:rPr>
      </w:pPr>
    </w:p>
    <w:p w14:paraId="5F8F4085" w14:textId="77777777" w:rsidR="00ED4E33" w:rsidRDefault="00ED4E33" w:rsidP="00ED4E33"/>
    <w:p w14:paraId="6557C9E5" w14:textId="77777777" w:rsidR="00000E5A" w:rsidRDefault="00000E5A"/>
    <w:sectPr w:rsidR="00000E5A" w:rsidSect="00065FB6">
      <w:pgSz w:w="11906" w:h="16838"/>
      <w:pgMar w:top="567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AC18E" w14:textId="77777777" w:rsidR="00C70DAA" w:rsidRDefault="00C70DAA" w:rsidP="00ED4E33">
      <w:r>
        <w:separator/>
      </w:r>
    </w:p>
  </w:endnote>
  <w:endnote w:type="continuationSeparator" w:id="0">
    <w:p w14:paraId="30C99022" w14:textId="77777777" w:rsidR="00C70DAA" w:rsidRDefault="00C70DAA" w:rsidP="00ED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C2045" w14:textId="77777777" w:rsidR="00C70DAA" w:rsidRDefault="00C70DAA" w:rsidP="00ED4E33">
      <w:r>
        <w:separator/>
      </w:r>
    </w:p>
  </w:footnote>
  <w:footnote w:type="continuationSeparator" w:id="0">
    <w:p w14:paraId="5E55450C" w14:textId="77777777" w:rsidR="00C70DAA" w:rsidRDefault="00C70DAA" w:rsidP="00ED4E33">
      <w:r>
        <w:continuationSeparator/>
      </w:r>
    </w:p>
  </w:footnote>
  <w:footnote w:id="1">
    <w:p w14:paraId="15AB1BA4" w14:textId="77777777" w:rsidR="00ED4E33" w:rsidRPr="00702643" w:rsidRDefault="00ED4E33" w:rsidP="00ED4E33">
      <w:pPr>
        <w:pStyle w:val="FootnoteText"/>
        <w:jc w:val="both"/>
        <w:rPr>
          <w:sz w:val="18"/>
          <w:szCs w:val="18"/>
          <w:lang w:val="lv-LV"/>
        </w:rPr>
      </w:pPr>
      <w:r w:rsidRPr="00702643">
        <w:rPr>
          <w:rStyle w:val="FootnoteReference"/>
          <w:sz w:val="18"/>
          <w:szCs w:val="18"/>
          <w:lang w:val="lv-LV"/>
        </w:rPr>
        <w:footnoteRef/>
      </w:r>
      <w:r w:rsidRPr="00702643">
        <w:rPr>
          <w:sz w:val="18"/>
          <w:szCs w:val="18"/>
          <w:lang w:val="lv-LV"/>
        </w:rPr>
        <w:t xml:space="preserve"> Norādītais vienību skaits ir indikatīvs, atbilstoši plānotajam apjomam, un ir paredzēts vienīgi </w:t>
      </w:r>
      <w:r>
        <w:rPr>
          <w:sz w:val="18"/>
          <w:szCs w:val="18"/>
          <w:lang w:val="lv-LV"/>
        </w:rPr>
        <w:t xml:space="preserve">cenu aptaujas </w:t>
      </w:r>
      <w:r w:rsidRPr="00702643">
        <w:rPr>
          <w:sz w:val="18"/>
          <w:szCs w:val="18"/>
          <w:lang w:val="lv-LV"/>
        </w:rPr>
        <w:t xml:space="preserve">finanšu piedāvājumu salīdzināšanai. Norādītais apjoms </w:t>
      </w:r>
      <w:r>
        <w:rPr>
          <w:sz w:val="18"/>
          <w:szCs w:val="18"/>
          <w:lang w:val="lv-LV"/>
        </w:rPr>
        <w:t>L</w:t>
      </w:r>
      <w:r w:rsidRPr="00702643">
        <w:rPr>
          <w:sz w:val="18"/>
          <w:szCs w:val="18"/>
          <w:lang w:val="lv-LV"/>
        </w:rPr>
        <w:t>īguma darbības laikā Pasūtītājam nav saistošs.</w:t>
      </w:r>
      <w:r>
        <w:rPr>
          <w:sz w:val="18"/>
          <w:szCs w:val="18"/>
          <w:lang w:val="lv-LV"/>
        </w:rPr>
        <w:t xml:space="preserve"> Pasūtītājs Līguma darbības laikā pirks Pakalpojumu pēc norādītajām vienību cenām pēc nepieciešamības.</w:t>
      </w:r>
    </w:p>
  </w:footnote>
  <w:footnote w:id="2">
    <w:p w14:paraId="60501694" w14:textId="77777777" w:rsidR="00ED4E33" w:rsidRPr="00702643" w:rsidRDefault="00ED4E33" w:rsidP="00ED4E33">
      <w:pPr>
        <w:pStyle w:val="FootnoteText"/>
        <w:jc w:val="both"/>
        <w:rPr>
          <w:sz w:val="18"/>
          <w:szCs w:val="18"/>
          <w:lang w:val="lv-LV"/>
        </w:rPr>
      </w:pPr>
      <w:r w:rsidRPr="00702643">
        <w:rPr>
          <w:rStyle w:val="FootnoteReference"/>
          <w:sz w:val="18"/>
          <w:szCs w:val="18"/>
          <w:lang w:val="lv-LV"/>
        </w:rPr>
        <w:footnoteRef/>
      </w:r>
      <w:r w:rsidRPr="00702643">
        <w:rPr>
          <w:sz w:val="18"/>
          <w:szCs w:val="18"/>
          <w:lang w:val="lv-LV"/>
        </w:rPr>
        <w:t xml:space="preserve"> </w:t>
      </w:r>
      <w:r w:rsidRPr="00702643">
        <w:rPr>
          <w:sz w:val="18"/>
          <w:szCs w:val="18"/>
          <w:lang w:val="lv-LV"/>
        </w:rPr>
        <w:t>Par vienu vienību (gab.) tiek uzskatīts 30 sekunžu ilgs vienas IVR shēmas viena līmeņa paziņojums vienā valodā.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33"/>
    <w:rsid w:val="00000E5A"/>
    <w:rsid w:val="00065FB6"/>
    <w:rsid w:val="00076F80"/>
    <w:rsid w:val="00133D2F"/>
    <w:rsid w:val="00237431"/>
    <w:rsid w:val="003356CD"/>
    <w:rsid w:val="0037161D"/>
    <w:rsid w:val="003939A0"/>
    <w:rsid w:val="004E5DEC"/>
    <w:rsid w:val="00604691"/>
    <w:rsid w:val="009859FC"/>
    <w:rsid w:val="00C15CFC"/>
    <w:rsid w:val="00C70DAA"/>
    <w:rsid w:val="00CA35C8"/>
    <w:rsid w:val="00E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F0F5"/>
  <w15:chartTrackingRefBased/>
  <w15:docId w15:val="{8B1C402C-C803-49AD-995A-866D51B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ED4E33"/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ED4E33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styleId="FootnoteReference">
    <w:name w:val="footnote reference"/>
    <w:aliases w:val="Footnote symbol,Footnote Reference Number"/>
    <w:uiPriority w:val="99"/>
    <w:rsid w:val="00ED4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Gerķe</dc:creator>
  <cp:keywords/>
  <dc:description/>
  <cp:lastModifiedBy>User</cp:lastModifiedBy>
  <cp:revision>7</cp:revision>
  <dcterms:created xsi:type="dcterms:W3CDTF">2023-01-27T11:46:00Z</dcterms:created>
  <dcterms:modified xsi:type="dcterms:W3CDTF">2023-03-02T16:04:00Z</dcterms:modified>
</cp:coreProperties>
</file>