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968F1DC" w14:textId="77777777" w:rsidR="000952B3" w:rsidRPr="00600B68" w:rsidRDefault="00B650B7" w:rsidP="001351FC">
      <w:pPr>
        <w:jc w:val="center"/>
        <w:rPr>
          <w:b/>
        </w:rPr>
      </w:pPr>
      <w:r w:rsidRPr="00600B68">
        <w:rPr>
          <w:b/>
        </w:rPr>
        <w:t>Ministru kabineta noteikumu projekta</w:t>
      </w:r>
    </w:p>
    <w:p w14:paraId="1968F1DD" w14:textId="77777777" w:rsidR="001351FC" w:rsidRPr="00600B68" w:rsidRDefault="00EC4ECA" w:rsidP="0015241F">
      <w:pPr>
        <w:jc w:val="center"/>
        <w:rPr>
          <w:b/>
        </w:rPr>
      </w:pPr>
      <w:r w:rsidRPr="00600B68">
        <w:rPr>
          <w:rFonts w:eastAsiaTheme="minorEastAsia"/>
          <w:b/>
        </w:rPr>
        <w:t>"</w:t>
      </w:r>
      <w:r w:rsidR="009F2AFD" w:rsidRPr="00600B68">
        <w:rPr>
          <w:b/>
        </w:rPr>
        <w:t xml:space="preserve">Grozījumi </w:t>
      </w:r>
      <w:r w:rsidR="00BB393B" w:rsidRPr="00600B68">
        <w:rPr>
          <w:b/>
        </w:rPr>
        <w:t>Ministru kabineta 201</w:t>
      </w:r>
      <w:r w:rsidR="00176E94" w:rsidRPr="00600B68">
        <w:rPr>
          <w:b/>
        </w:rPr>
        <w:t>6</w:t>
      </w:r>
      <w:r w:rsidR="00BB393B" w:rsidRPr="00600B68">
        <w:rPr>
          <w:b/>
        </w:rPr>
        <w:t xml:space="preserve">. gada </w:t>
      </w:r>
      <w:r w:rsidR="00176E94" w:rsidRPr="00600B68">
        <w:rPr>
          <w:b/>
        </w:rPr>
        <w:t>12. janvāra</w:t>
      </w:r>
      <w:r w:rsidR="00BB393B" w:rsidRPr="00600B68">
        <w:rPr>
          <w:b/>
        </w:rPr>
        <w:t xml:space="preserve"> noteikumos Nr. </w:t>
      </w:r>
      <w:r w:rsidR="00176E94" w:rsidRPr="00600B68">
        <w:rPr>
          <w:b/>
        </w:rPr>
        <w:t>34</w:t>
      </w:r>
      <w:r w:rsidR="00BB393B" w:rsidRPr="00600B68">
        <w:rPr>
          <w:b/>
        </w:rPr>
        <w:t xml:space="preserve"> </w:t>
      </w:r>
      <w:r w:rsidRPr="00600B68">
        <w:rPr>
          <w:rFonts w:eastAsiaTheme="minorEastAsia"/>
          <w:b/>
        </w:rPr>
        <w:t>"</w:t>
      </w:r>
      <w:r w:rsidR="00BB393B" w:rsidRPr="00600B68">
        <w:rPr>
          <w:b/>
        </w:rPr>
        <w:t xml:space="preserve">Darbības programmas </w:t>
      </w:r>
      <w:r w:rsidRPr="00600B68">
        <w:rPr>
          <w:rFonts w:eastAsiaTheme="minorEastAsia"/>
          <w:b/>
        </w:rPr>
        <w:t>"</w:t>
      </w:r>
      <w:r w:rsidR="00BB393B" w:rsidRPr="00600B68">
        <w:rPr>
          <w:b/>
        </w:rPr>
        <w:t>Izaugsme un nodarbinātība</w:t>
      </w:r>
      <w:r w:rsidRPr="00600B68">
        <w:rPr>
          <w:rFonts w:eastAsiaTheme="minorEastAsia"/>
          <w:b/>
        </w:rPr>
        <w:t>"</w:t>
      </w:r>
      <w:r w:rsidR="00BB393B" w:rsidRPr="00600B68">
        <w:rPr>
          <w:b/>
        </w:rPr>
        <w:t xml:space="preserve"> 1.1.1. specifiskā atbalsta mērķa </w:t>
      </w:r>
      <w:r w:rsidRPr="00600B68">
        <w:rPr>
          <w:rFonts w:eastAsiaTheme="minorEastAsia"/>
          <w:b/>
        </w:rPr>
        <w:t>"</w:t>
      </w:r>
      <w:r w:rsidR="00BB393B" w:rsidRPr="00600B68">
        <w:rPr>
          <w:b/>
        </w:rPr>
        <w:t>Palielināt Latvijas zinātnisko institūciju pētniecisko un inovatīvo kapacitāti un spēju piesaistīt ārējo finansējumu, ieguldot cilvēkresursos un infrastruktūrā</w:t>
      </w:r>
      <w:r w:rsidRPr="00600B68">
        <w:rPr>
          <w:rFonts w:eastAsiaTheme="minorEastAsia"/>
          <w:b/>
        </w:rPr>
        <w:t>"</w:t>
      </w:r>
      <w:r w:rsidR="00BB393B" w:rsidRPr="00600B68">
        <w:rPr>
          <w:b/>
        </w:rPr>
        <w:t xml:space="preserve"> 1.1.1.</w:t>
      </w:r>
      <w:r w:rsidR="00176E94" w:rsidRPr="00600B68">
        <w:rPr>
          <w:b/>
        </w:rPr>
        <w:t>1</w:t>
      </w:r>
      <w:r w:rsidR="00BB393B" w:rsidRPr="00600B68">
        <w:rPr>
          <w:b/>
        </w:rPr>
        <w:t xml:space="preserve">. pasākuma </w:t>
      </w:r>
      <w:r w:rsidRPr="00600B68">
        <w:rPr>
          <w:rFonts w:eastAsiaTheme="minorEastAsia"/>
          <w:b/>
        </w:rPr>
        <w:t>"</w:t>
      </w:r>
      <w:r w:rsidR="00176E94" w:rsidRPr="00600B68">
        <w:rPr>
          <w:b/>
        </w:rPr>
        <w:t>Praktiskas ievirzes pētījumi</w:t>
      </w:r>
      <w:r w:rsidRPr="00600B68">
        <w:rPr>
          <w:rFonts w:eastAsiaTheme="minorEastAsia"/>
          <w:b/>
        </w:rPr>
        <w:t>"</w:t>
      </w:r>
      <w:r w:rsidR="00BB393B" w:rsidRPr="00600B68">
        <w:rPr>
          <w:b/>
        </w:rPr>
        <w:t xml:space="preserve"> īstenošanas noteikumi</w:t>
      </w:r>
      <w:r w:rsidRPr="00600B68">
        <w:rPr>
          <w:rFonts w:eastAsiaTheme="minorEastAsia"/>
          <w:b/>
        </w:rPr>
        <w:t>"</w:t>
      </w:r>
      <w:r w:rsidR="00BB393B" w:rsidRPr="00600B68">
        <w:rPr>
          <w:b/>
        </w:rPr>
        <w:t xml:space="preserve"> </w:t>
      </w:r>
      <w:r w:rsidR="000952B3" w:rsidRPr="00600B68">
        <w:rPr>
          <w:b/>
        </w:rPr>
        <w:t>sākotnējās ietekmes novērtējuma ziņojums (anotācija)</w:t>
      </w:r>
    </w:p>
    <w:p w14:paraId="1968F1DE" w14:textId="77777777" w:rsidR="00AE1DA4" w:rsidRPr="00600B68" w:rsidRDefault="00AE1DA4" w:rsidP="0015241F">
      <w:pPr>
        <w:jc w:val="center"/>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55"/>
        <w:gridCol w:w="6406"/>
      </w:tblGrid>
      <w:tr w:rsidR="00600B68" w:rsidRPr="00600B68" w14:paraId="1968F1E0" w14:textId="77777777" w:rsidTr="00530226">
        <w:tc>
          <w:tcPr>
            <w:tcW w:w="5000" w:type="pct"/>
            <w:gridSpan w:val="2"/>
            <w:tcBorders>
              <w:top w:val="single" w:sz="4" w:space="0" w:color="auto"/>
              <w:left w:val="single" w:sz="4" w:space="0" w:color="auto"/>
              <w:bottom w:val="single" w:sz="4" w:space="0" w:color="auto"/>
              <w:right w:val="single" w:sz="4" w:space="0" w:color="auto"/>
            </w:tcBorders>
            <w:shd w:val="clear" w:color="auto" w:fill="auto"/>
            <w:hideMark/>
          </w:tcPr>
          <w:p w14:paraId="1968F1DF" w14:textId="77777777" w:rsidR="000952B3" w:rsidRPr="00600B68" w:rsidRDefault="00B650B7" w:rsidP="001351FC">
            <w:pPr>
              <w:pStyle w:val="ListParagraph"/>
              <w:tabs>
                <w:tab w:val="left" w:pos="2268"/>
                <w:tab w:val="left" w:pos="2410"/>
              </w:tabs>
              <w:ind w:left="1080"/>
              <w:jc w:val="center"/>
              <w:rPr>
                <w:b/>
                <w:sz w:val="24"/>
                <w:szCs w:val="24"/>
                <w:lang w:eastAsia="en-US"/>
              </w:rPr>
            </w:pPr>
            <w:r w:rsidRPr="00600B68">
              <w:rPr>
                <w:b/>
                <w:bCs/>
                <w:sz w:val="24"/>
                <w:szCs w:val="24"/>
              </w:rPr>
              <w:t>Tiesību akta projekta anotācijas kopsavilkums</w:t>
            </w:r>
          </w:p>
        </w:tc>
      </w:tr>
      <w:tr w:rsidR="00600B68" w:rsidRPr="00600B68" w14:paraId="1968F1E8" w14:textId="77777777" w:rsidTr="00530226">
        <w:tc>
          <w:tcPr>
            <w:tcW w:w="1465" w:type="pct"/>
            <w:tcBorders>
              <w:top w:val="single" w:sz="4" w:space="0" w:color="auto"/>
              <w:left w:val="single" w:sz="4" w:space="0" w:color="auto"/>
              <w:bottom w:val="single" w:sz="4" w:space="0" w:color="auto"/>
              <w:right w:val="single" w:sz="4" w:space="0" w:color="auto"/>
            </w:tcBorders>
            <w:shd w:val="clear" w:color="auto" w:fill="auto"/>
          </w:tcPr>
          <w:p w14:paraId="1968F1E1" w14:textId="77777777" w:rsidR="000952B3" w:rsidRPr="00600B68" w:rsidRDefault="00B650B7" w:rsidP="001351FC">
            <w:pPr>
              <w:tabs>
                <w:tab w:val="left" w:pos="1904"/>
              </w:tabs>
              <w:rPr>
                <w:lang w:eastAsia="en-US"/>
              </w:rPr>
            </w:pPr>
            <w:r w:rsidRPr="00600B68">
              <w:t>Mērķis, risinājums u</w:t>
            </w:r>
            <w:r w:rsidR="004210D4" w:rsidRPr="00600B68">
              <w:t>n projekta spēkā stāšanās laiks</w:t>
            </w:r>
            <w:r w:rsidR="00B023C3" w:rsidRPr="00600B68">
              <w:t xml:space="preserve"> (500 zīmes bez atstarpēm) </w:t>
            </w:r>
          </w:p>
        </w:tc>
        <w:tc>
          <w:tcPr>
            <w:tcW w:w="3535" w:type="pct"/>
            <w:tcBorders>
              <w:top w:val="single" w:sz="4" w:space="0" w:color="auto"/>
              <w:left w:val="single" w:sz="4" w:space="0" w:color="auto"/>
              <w:bottom w:val="single" w:sz="4" w:space="0" w:color="auto"/>
              <w:right w:val="single" w:sz="4" w:space="0" w:color="auto"/>
            </w:tcBorders>
            <w:shd w:val="clear" w:color="auto" w:fill="auto"/>
            <w:vAlign w:val="center"/>
          </w:tcPr>
          <w:p w14:paraId="1968F1E2" w14:textId="77777777" w:rsidR="000D074F" w:rsidRPr="00600B68" w:rsidRDefault="001D39EA" w:rsidP="003C1D2D">
            <w:pPr>
              <w:pStyle w:val="ListParagraph"/>
              <w:spacing w:before="60" w:after="60"/>
              <w:ind w:left="101" w:right="102"/>
              <w:jc w:val="both"/>
              <w:rPr>
                <w:rFonts w:eastAsiaTheme="minorEastAsia"/>
                <w:sz w:val="24"/>
                <w:szCs w:val="24"/>
              </w:rPr>
            </w:pPr>
            <w:r>
              <w:rPr>
                <w:rFonts w:eastAsiaTheme="minorEastAsia"/>
                <w:sz w:val="24"/>
                <w:szCs w:val="24"/>
              </w:rPr>
              <w:t>N</w:t>
            </w:r>
            <w:r w:rsidR="000D074F" w:rsidRPr="00600B68">
              <w:rPr>
                <w:rFonts w:eastAsiaTheme="minorEastAsia"/>
                <w:sz w:val="24"/>
                <w:szCs w:val="24"/>
              </w:rPr>
              <w:t>oteikumu projekta</w:t>
            </w:r>
            <w:r>
              <w:rPr>
                <w:rStyle w:val="FootnoteReference"/>
                <w:rFonts w:eastAsiaTheme="minorEastAsia"/>
                <w:sz w:val="24"/>
                <w:szCs w:val="24"/>
              </w:rPr>
              <w:footnoteReference w:id="1"/>
            </w:r>
            <w:r w:rsidR="000D074F" w:rsidRPr="00600B68">
              <w:rPr>
                <w:rFonts w:eastAsiaTheme="minorEastAsia"/>
                <w:sz w:val="24"/>
                <w:szCs w:val="24"/>
              </w:rPr>
              <w:t xml:space="preserve"> mērķis ir aktualizēt 1.1.1.1. pasākuma "Praktiskas ievirzes pētījumi" (turpmāk – 1.1.1.1. pasākums) īstenošanas noteikumus, </w:t>
            </w:r>
            <w:r>
              <w:rPr>
                <w:rFonts w:eastAsiaTheme="minorEastAsia"/>
                <w:sz w:val="24"/>
                <w:szCs w:val="24"/>
              </w:rPr>
              <w:t>tai skaitā</w:t>
            </w:r>
            <w:r w:rsidR="000D074F" w:rsidRPr="00600B68">
              <w:rPr>
                <w:rFonts w:eastAsiaTheme="minorEastAsia"/>
                <w:sz w:val="24"/>
                <w:szCs w:val="24"/>
              </w:rPr>
              <w:t>:</w:t>
            </w:r>
          </w:p>
          <w:p w14:paraId="1968F1E3" w14:textId="77777777" w:rsidR="000D074F" w:rsidRDefault="000D074F" w:rsidP="003C1D2D">
            <w:pPr>
              <w:pStyle w:val="ListParagraph"/>
              <w:spacing w:before="60" w:after="60"/>
              <w:ind w:left="101" w:right="102"/>
              <w:jc w:val="both"/>
              <w:rPr>
                <w:rFonts w:eastAsiaTheme="minorEastAsia"/>
                <w:sz w:val="24"/>
                <w:szCs w:val="24"/>
              </w:rPr>
            </w:pPr>
            <w:r w:rsidRPr="00600B68">
              <w:rPr>
                <w:rFonts w:eastAsiaTheme="minorEastAsia"/>
                <w:sz w:val="24"/>
                <w:szCs w:val="24"/>
              </w:rPr>
              <w:t>– </w:t>
            </w:r>
            <w:r w:rsidR="009E1152">
              <w:rPr>
                <w:rFonts w:eastAsiaTheme="minorEastAsia"/>
                <w:sz w:val="24"/>
                <w:szCs w:val="24"/>
              </w:rPr>
              <w:t>precizēt</w:t>
            </w:r>
            <w:r w:rsidR="001D39EA">
              <w:rPr>
                <w:rFonts w:eastAsiaTheme="minorEastAsia"/>
                <w:sz w:val="24"/>
                <w:szCs w:val="24"/>
              </w:rPr>
              <w:t xml:space="preserve"> 1.1.1.1. pasākumam pieejamo </w:t>
            </w:r>
            <w:r w:rsidR="001B62B0">
              <w:rPr>
                <w:rFonts w:eastAsiaTheme="minorEastAsia"/>
                <w:sz w:val="24"/>
                <w:szCs w:val="24"/>
              </w:rPr>
              <w:t xml:space="preserve">kopējo </w:t>
            </w:r>
            <w:r w:rsidR="001D39EA">
              <w:rPr>
                <w:rFonts w:eastAsiaTheme="minorEastAsia"/>
                <w:sz w:val="24"/>
                <w:szCs w:val="24"/>
              </w:rPr>
              <w:t>publisko finansējumu</w:t>
            </w:r>
            <w:r w:rsidR="001B62B0">
              <w:rPr>
                <w:rFonts w:eastAsiaTheme="minorEastAsia"/>
                <w:sz w:val="24"/>
                <w:szCs w:val="24"/>
              </w:rPr>
              <w:t xml:space="preserve"> sadalījumā pa projektu iesniegumu atlases kārtām</w:t>
            </w:r>
            <w:r w:rsidRPr="00600B68">
              <w:rPr>
                <w:rFonts w:eastAsiaTheme="minorEastAsia"/>
                <w:sz w:val="24"/>
                <w:szCs w:val="24"/>
              </w:rPr>
              <w:t>;</w:t>
            </w:r>
          </w:p>
          <w:p w14:paraId="1968F1E4" w14:textId="77777777" w:rsidR="001D39EA" w:rsidRDefault="001D39EA" w:rsidP="003C1D2D">
            <w:pPr>
              <w:pStyle w:val="ListParagraph"/>
              <w:spacing w:before="60" w:after="60"/>
              <w:ind w:left="101" w:right="102"/>
              <w:jc w:val="both"/>
              <w:rPr>
                <w:rFonts w:eastAsiaTheme="minorEastAsia"/>
                <w:sz w:val="24"/>
                <w:szCs w:val="24"/>
              </w:rPr>
            </w:pPr>
            <w:r w:rsidRPr="00600B68">
              <w:rPr>
                <w:rFonts w:eastAsiaTheme="minorEastAsia"/>
                <w:sz w:val="24"/>
                <w:szCs w:val="24"/>
              </w:rPr>
              <w:t>– </w:t>
            </w:r>
            <w:r>
              <w:rPr>
                <w:rFonts w:eastAsiaTheme="minorEastAsia"/>
                <w:sz w:val="24"/>
                <w:szCs w:val="24"/>
              </w:rPr>
              <w:t>palielināt treš</w:t>
            </w:r>
            <w:r w:rsidR="009E1152">
              <w:rPr>
                <w:rFonts w:eastAsiaTheme="minorEastAsia"/>
                <w:sz w:val="24"/>
                <w:szCs w:val="24"/>
              </w:rPr>
              <w:t>aj</w:t>
            </w:r>
            <w:r>
              <w:rPr>
                <w:rFonts w:eastAsiaTheme="minorEastAsia"/>
                <w:sz w:val="24"/>
                <w:szCs w:val="24"/>
              </w:rPr>
              <w:t xml:space="preserve">ai </w:t>
            </w:r>
            <w:r w:rsidR="00BB16A9">
              <w:rPr>
                <w:rFonts w:eastAsiaTheme="minorEastAsia"/>
                <w:sz w:val="24"/>
                <w:szCs w:val="24"/>
              </w:rPr>
              <w:t xml:space="preserve">un ceturtajai </w:t>
            </w:r>
            <w:r>
              <w:rPr>
                <w:rFonts w:eastAsiaTheme="minorEastAsia"/>
                <w:sz w:val="24"/>
                <w:szCs w:val="24"/>
              </w:rPr>
              <w:t>projektu iesniegumu atlases kārtai pieejamo publisko finans</w:t>
            </w:r>
            <w:r w:rsidR="0081796F">
              <w:rPr>
                <w:rFonts w:eastAsiaTheme="minorEastAsia"/>
                <w:sz w:val="24"/>
                <w:szCs w:val="24"/>
              </w:rPr>
              <w:t>ējumu;</w:t>
            </w:r>
          </w:p>
          <w:p w14:paraId="1968F1E5" w14:textId="77777777" w:rsidR="00DE27E6" w:rsidRDefault="00DE27E6" w:rsidP="00DE27E6">
            <w:pPr>
              <w:pStyle w:val="ListParagraph"/>
              <w:spacing w:before="60" w:after="60"/>
              <w:ind w:left="101" w:right="102"/>
              <w:jc w:val="both"/>
              <w:rPr>
                <w:rFonts w:eastAsiaTheme="minorEastAsia"/>
                <w:sz w:val="24"/>
                <w:szCs w:val="24"/>
              </w:rPr>
            </w:pPr>
            <w:r w:rsidRPr="00600B68">
              <w:rPr>
                <w:rFonts w:eastAsiaTheme="minorEastAsia"/>
                <w:sz w:val="24"/>
                <w:szCs w:val="24"/>
              </w:rPr>
              <w:t>–</w:t>
            </w:r>
            <w:r>
              <w:rPr>
                <w:rFonts w:eastAsiaTheme="minorEastAsia"/>
                <w:sz w:val="24"/>
                <w:szCs w:val="24"/>
              </w:rPr>
              <w:t>noteikt piektās projektu iesniegumu atlases kārtas īstenošanas noteikumus;</w:t>
            </w:r>
          </w:p>
          <w:p w14:paraId="1968F1E6" w14:textId="77777777" w:rsidR="000D074F" w:rsidRPr="00600B68" w:rsidRDefault="000D074F" w:rsidP="003C1D2D">
            <w:pPr>
              <w:pStyle w:val="ListParagraph"/>
              <w:spacing w:before="60" w:after="60"/>
              <w:ind w:left="101" w:right="102"/>
              <w:jc w:val="both"/>
              <w:rPr>
                <w:rFonts w:eastAsiaTheme="minorEastAsia"/>
                <w:sz w:val="24"/>
                <w:szCs w:val="24"/>
              </w:rPr>
            </w:pPr>
            <w:r w:rsidRPr="00600B68">
              <w:rPr>
                <w:rFonts w:eastAsiaTheme="minorEastAsia"/>
                <w:sz w:val="24"/>
                <w:szCs w:val="24"/>
              </w:rPr>
              <w:t xml:space="preserve">– nodrošināt normu </w:t>
            </w:r>
            <w:r>
              <w:rPr>
                <w:rFonts w:eastAsiaTheme="minorEastAsia"/>
                <w:sz w:val="24"/>
                <w:szCs w:val="24"/>
              </w:rPr>
              <w:t xml:space="preserve">savstarpēju </w:t>
            </w:r>
            <w:r w:rsidRPr="00600B68">
              <w:rPr>
                <w:rFonts w:eastAsiaTheme="minorEastAsia"/>
                <w:sz w:val="24"/>
                <w:szCs w:val="24"/>
              </w:rPr>
              <w:t>sistematizāciju.</w:t>
            </w:r>
          </w:p>
          <w:p w14:paraId="1968F1E7" w14:textId="77777777" w:rsidR="000952B3" w:rsidRPr="00600B68" w:rsidRDefault="00B000A1" w:rsidP="003C1D2D">
            <w:pPr>
              <w:jc w:val="both"/>
              <w:rPr>
                <w:rFonts w:eastAsiaTheme="minorEastAsia"/>
              </w:rPr>
            </w:pPr>
            <w:r w:rsidRPr="00600B68">
              <w:rPr>
                <w:rFonts w:eastAsiaTheme="minorEastAsia"/>
              </w:rPr>
              <w:t>Noteikumu projekts stāsies spēkā Oficiālo publikāciju un tiesiskās informācijas likumā noteiktajā kārtībā.</w:t>
            </w:r>
          </w:p>
        </w:tc>
      </w:tr>
    </w:tbl>
    <w:p w14:paraId="1968F1E9" w14:textId="77777777" w:rsidR="000952B3" w:rsidRPr="00600B68" w:rsidRDefault="00046435" w:rsidP="00785EFA">
      <w:pPr>
        <w:tabs>
          <w:tab w:val="left" w:pos="5388"/>
        </w:tabs>
      </w:pPr>
      <w:r w:rsidRPr="00600B68">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89"/>
        <w:gridCol w:w="1949"/>
        <w:gridCol w:w="6323"/>
      </w:tblGrid>
      <w:tr w:rsidR="00600B68" w:rsidRPr="00600B68" w14:paraId="1968F1EB" w14:textId="77777777" w:rsidTr="00530226">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68F1EA" w14:textId="77777777" w:rsidR="000952B3" w:rsidRPr="00600B68" w:rsidRDefault="00B650B7" w:rsidP="001351FC">
            <w:pPr>
              <w:pStyle w:val="ListParagraph"/>
              <w:tabs>
                <w:tab w:val="left" w:pos="2268"/>
                <w:tab w:val="left" w:pos="2410"/>
              </w:tabs>
              <w:ind w:left="1080"/>
              <w:jc w:val="center"/>
              <w:rPr>
                <w:b/>
                <w:sz w:val="24"/>
                <w:szCs w:val="24"/>
                <w:lang w:eastAsia="en-US"/>
              </w:rPr>
            </w:pPr>
            <w:r w:rsidRPr="00600B68">
              <w:rPr>
                <w:b/>
                <w:bCs/>
                <w:sz w:val="24"/>
                <w:szCs w:val="24"/>
              </w:rPr>
              <w:t>I. Tiesību akta projekta izstrādes nepieciešamība</w:t>
            </w:r>
          </w:p>
        </w:tc>
      </w:tr>
      <w:tr w:rsidR="00600B68" w:rsidRPr="00600B68" w14:paraId="1968F1F4" w14:textId="77777777" w:rsidTr="00310798">
        <w:tc>
          <w:tcPr>
            <w:tcW w:w="436" w:type="pct"/>
            <w:tcBorders>
              <w:top w:val="single" w:sz="4" w:space="0" w:color="auto"/>
              <w:left w:val="single" w:sz="4" w:space="0" w:color="auto"/>
              <w:bottom w:val="single" w:sz="4" w:space="0" w:color="auto"/>
              <w:right w:val="single" w:sz="4" w:space="0" w:color="auto"/>
            </w:tcBorders>
            <w:shd w:val="clear" w:color="auto" w:fill="auto"/>
          </w:tcPr>
          <w:p w14:paraId="1968F1EC" w14:textId="77777777" w:rsidR="000952B3" w:rsidRPr="00600B68" w:rsidRDefault="00B650B7" w:rsidP="001351FC">
            <w:pPr>
              <w:jc w:val="center"/>
              <w:rPr>
                <w:lang w:eastAsia="en-US"/>
              </w:rPr>
            </w:pPr>
            <w:r w:rsidRPr="00600B68">
              <w:t>1.</w:t>
            </w:r>
          </w:p>
        </w:tc>
        <w:tc>
          <w:tcPr>
            <w:tcW w:w="1075" w:type="pct"/>
            <w:tcBorders>
              <w:top w:val="single" w:sz="4" w:space="0" w:color="auto"/>
              <w:left w:val="single" w:sz="4" w:space="0" w:color="auto"/>
              <w:bottom w:val="single" w:sz="4" w:space="0" w:color="auto"/>
              <w:right w:val="single" w:sz="4" w:space="0" w:color="auto"/>
            </w:tcBorders>
            <w:shd w:val="clear" w:color="auto" w:fill="auto"/>
          </w:tcPr>
          <w:p w14:paraId="1968F1ED" w14:textId="77777777" w:rsidR="000952B3" w:rsidRPr="00600B68" w:rsidRDefault="00B650B7" w:rsidP="001351FC">
            <w:pPr>
              <w:tabs>
                <w:tab w:val="left" w:pos="1904"/>
              </w:tabs>
              <w:rPr>
                <w:lang w:eastAsia="en-US"/>
              </w:rPr>
            </w:pPr>
            <w:r w:rsidRPr="00600B68">
              <w:t>Pamatojums</w:t>
            </w:r>
          </w:p>
        </w:tc>
        <w:tc>
          <w:tcPr>
            <w:tcW w:w="3489" w:type="pct"/>
            <w:tcBorders>
              <w:top w:val="single" w:sz="4" w:space="0" w:color="auto"/>
              <w:left w:val="single" w:sz="4" w:space="0" w:color="auto"/>
              <w:bottom w:val="single" w:sz="4" w:space="0" w:color="auto"/>
              <w:right w:val="single" w:sz="4" w:space="0" w:color="auto"/>
            </w:tcBorders>
            <w:shd w:val="clear" w:color="auto" w:fill="auto"/>
            <w:vAlign w:val="center"/>
          </w:tcPr>
          <w:p w14:paraId="1968F1F3" w14:textId="4149E4E7" w:rsidR="0081796F" w:rsidRPr="00B2632A" w:rsidRDefault="000570D3" w:rsidP="00B2632A">
            <w:pPr>
              <w:spacing w:before="60" w:after="60"/>
              <w:ind w:left="101" w:right="102"/>
              <w:jc w:val="both"/>
              <w:rPr>
                <w:rFonts w:eastAsiaTheme="minorEastAsia"/>
              </w:rPr>
            </w:pPr>
            <w:r w:rsidRPr="00BB02F4">
              <w:rPr>
                <w:rFonts w:eastAsiaTheme="minorEastAsia"/>
              </w:rPr>
              <w:t>N</w:t>
            </w:r>
            <w:r w:rsidR="00C84E4C" w:rsidRPr="00BB02F4">
              <w:rPr>
                <w:rFonts w:eastAsiaTheme="minorEastAsia"/>
              </w:rPr>
              <w:t xml:space="preserve">oteikumu </w:t>
            </w:r>
            <w:r w:rsidR="00EC4ECA" w:rsidRPr="00BB02F4">
              <w:rPr>
                <w:rFonts w:eastAsiaTheme="minorEastAsia"/>
              </w:rPr>
              <w:t>"Grozījumi Ministru kabineta 2016. gada 12.</w:t>
            </w:r>
            <w:r w:rsidR="000D074F" w:rsidRPr="00BB02F4">
              <w:rPr>
                <w:rFonts w:eastAsiaTheme="minorEastAsia"/>
              </w:rPr>
              <w:t> </w:t>
            </w:r>
            <w:r w:rsidR="00EC4ECA" w:rsidRPr="00BB02F4">
              <w:rPr>
                <w:rFonts w:eastAsiaTheme="minorEastAsia"/>
              </w:rPr>
              <w:t xml:space="preserve">janvāra noteikumos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w:t>
            </w:r>
            <w:r w:rsidR="00C84E4C" w:rsidRPr="00BB02F4">
              <w:rPr>
                <w:rFonts w:eastAsiaTheme="minorEastAsia"/>
              </w:rPr>
              <w:t xml:space="preserve">projekts </w:t>
            </w:r>
            <w:r w:rsidR="00EC4ECA" w:rsidRPr="00B2632A">
              <w:rPr>
                <w:rFonts w:eastAsiaTheme="minorEastAsia"/>
              </w:rPr>
              <w:t xml:space="preserve">(turpmāk – noteikumu projekts) </w:t>
            </w:r>
            <w:r w:rsidR="00154ADC" w:rsidRPr="00B2632A">
              <w:rPr>
                <w:rFonts w:eastAsiaTheme="minorEastAsia"/>
              </w:rPr>
              <w:t>sagatavots saskaņā ar Eiropas Savienības struktūrfondu un Kohēzijas fonda 2014. – 2020. gada plānošanas perioda vadības likuma 20. panta 6.</w:t>
            </w:r>
            <w:r w:rsidR="005533BE" w:rsidRPr="00B2632A">
              <w:rPr>
                <w:rFonts w:eastAsiaTheme="minorEastAsia"/>
              </w:rPr>
              <w:t xml:space="preserve"> un 13. punktu.</w:t>
            </w:r>
          </w:p>
        </w:tc>
      </w:tr>
      <w:tr w:rsidR="00600B68" w:rsidRPr="00600B68" w14:paraId="1968F253" w14:textId="77777777" w:rsidTr="008B1C36">
        <w:tc>
          <w:tcPr>
            <w:tcW w:w="435" w:type="pct"/>
            <w:tcBorders>
              <w:top w:val="single" w:sz="4" w:space="0" w:color="auto"/>
              <w:left w:val="single" w:sz="4" w:space="0" w:color="auto"/>
              <w:bottom w:val="single" w:sz="4" w:space="0" w:color="auto"/>
              <w:right w:val="single" w:sz="4" w:space="0" w:color="auto"/>
            </w:tcBorders>
            <w:shd w:val="clear" w:color="auto" w:fill="auto"/>
          </w:tcPr>
          <w:p w14:paraId="1968F1F5" w14:textId="77777777" w:rsidR="00055596" w:rsidRPr="00600B68" w:rsidRDefault="00B650B7" w:rsidP="001351FC">
            <w:pPr>
              <w:jc w:val="center"/>
              <w:rPr>
                <w:lang w:eastAsia="en-US"/>
              </w:rPr>
            </w:pPr>
            <w:r w:rsidRPr="00600B68">
              <w:t>2.</w:t>
            </w:r>
          </w:p>
        </w:tc>
        <w:tc>
          <w:tcPr>
            <w:tcW w:w="1075" w:type="pct"/>
            <w:tcBorders>
              <w:top w:val="single" w:sz="4" w:space="0" w:color="auto"/>
              <w:left w:val="single" w:sz="4" w:space="0" w:color="auto"/>
              <w:bottom w:val="single" w:sz="4" w:space="0" w:color="auto"/>
              <w:right w:val="single" w:sz="4" w:space="0" w:color="auto"/>
            </w:tcBorders>
            <w:shd w:val="clear" w:color="auto" w:fill="auto"/>
          </w:tcPr>
          <w:p w14:paraId="1968F1F6" w14:textId="77777777" w:rsidR="00055596" w:rsidRPr="00600B68" w:rsidRDefault="00B650B7" w:rsidP="001351FC">
            <w:pPr>
              <w:jc w:val="both"/>
              <w:rPr>
                <w:lang w:eastAsia="en-US"/>
              </w:rPr>
            </w:pPr>
            <w:r w:rsidRPr="00600B68">
              <w:t xml:space="preserve">Pašreizējā situācija un problēmas, kuru risināšanai tiesību akta projekts izstrādāts, tiesiskā regulējuma mērķis un būtība </w:t>
            </w:r>
          </w:p>
        </w:tc>
        <w:tc>
          <w:tcPr>
            <w:tcW w:w="3489" w:type="pct"/>
            <w:tcBorders>
              <w:top w:val="single" w:sz="4" w:space="0" w:color="auto"/>
              <w:left w:val="single" w:sz="4" w:space="0" w:color="auto"/>
              <w:bottom w:val="single" w:sz="4" w:space="0" w:color="auto"/>
              <w:right w:val="single" w:sz="4" w:space="0" w:color="auto"/>
            </w:tcBorders>
            <w:shd w:val="clear" w:color="auto" w:fill="auto"/>
          </w:tcPr>
          <w:p w14:paraId="1968F1F7" w14:textId="77777777" w:rsidR="000570D3" w:rsidRDefault="000570D3" w:rsidP="00465FF3">
            <w:pPr>
              <w:pStyle w:val="ListParagraph"/>
              <w:spacing w:before="120" w:after="120"/>
              <w:ind w:left="101" w:right="102"/>
              <w:jc w:val="both"/>
              <w:rPr>
                <w:rFonts w:eastAsiaTheme="minorEastAsia"/>
                <w:sz w:val="24"/>
                <w:szCs w:val="24"/>
              </w:rPr>
            </w:pPr>
            <w:r w:rsidRPr="00600B68">
              <w:rPr>
                <w:rFonts w:eastAsiaTheme="minorEastAsia"/>
                <w:sz w:val="24"/>
                <w:szCs w:val="24"/>
              </w:rPr>
              <w:t>Ministru kabineta 2016. gada 12. janvāra noteikumi Nr. 34 "Darbības programmas "Izaugsme un nodarbinātība" 1.1.1.</w:t>
            </w:r>
            <w:r w:rsidR="000D074F">
              <w:rPr>
                <w:rFonts w:eastAsiaTheme="minorEastAsia"/>
                <w:sz w:val="24"/>
                <w:szCs w:val="24"/>
              </w:rPr>
              <w:t> </w:t>
            </w:r>
            <w:r w:rsidRPr="00600B68">
              <w:rPr>
                <w:rFonts w:eastAsiaTheme="minorEastAsia"/>
                <w:sz w:val="24"/>
                <w:szCs w:val="24"/>
              </w:rPr>
              <w:t>specifiskā atbalsta mērķa "Palielināt Latvijas zinātnisko institūciju pētniecisko un inovatīvo kapacitāti un spēju piesaistīt ārējo finansējumu, ieguldot cilvēkresursos un infrastruktūrā" 1.1.1.1</w:t>
            </w:r>
            <w:r w:rsidR="009D5CC8" w:rsidRPr="00600B68">
              <w:rPr>
                <w:rFonts w:eastAsiaTheme="minorEastAsia"/>
                <w:sz w:val="24"/>
                <w:szCs w:val="24"/>
              </w:rPr>
              <w:t>.</w:t>
            </w:r>
            <w:r w:rsidR="009D5CC8">
              <w:rPr>
                <w:rFonts w:eastAsiaTheme="minorEastAsia"/>
                <w:sz w:val="24"/>
                <w:szCs w:val="24"/>
              </w:rPr>
              <w:t> </w:t>
            </w:r>
            <w:r w:rsidRPr="00600B68">
              <w:rPr>
                <w:rFonts w:eastAsiaTheme="minorEastAsia"/>
                <w:sz w:val="24"/>
                <w:szCs w:val="24"/>
              </w:rPr>
              <w:t>pasākuma "Praktiskas ievirzes pētījumi" īstenošanas noteikumi" (turpmāk – MK noteikumi) nosaka kārtīb</w:t>
            </w:r>
            <w:r w:rsidR="00B7771D">
              <w:rPr>
                <w:rFonts w:eastAsiaTheme="minorEastAsia"/>
                <w:sz w:val="24"/>
                <w:szCs w:val="24"/>
              </w:rPr>
              <w:t>u, kādā īsteno 1.1.1.1</w:t>
            </w:r>
            <w:r w:rsidR="009D5CC8">
              <w:rPr>
                <w:rFonts w:eastAsiaTheme="minorEastAsia"/>
                <w:sz w:val="24"/>
                <w:szCs w:val="24"/>
              </w:rPr>
              <w:t>. </w:t>
            </w:r>
            <w:r w:rsidR="00B7771D">
              <w:rPr>
                <w:rFonts w:eastAsiaTheme="minorEastAsia"/>
                <w:sz w:val="24"/>
                <w:szCs w:val="24"/>
              </w:rPr>
              <w:t>pasākuma pirmo</w:t>
            </w:r>
            <w:r w:rsidR="009A59F7">
              <w:rPr>
                <w:rFonts w:eastAsiaTheme="minorEastAsia"/>
                <w:sz w:val="24"/>
                <w:szCs w:val="24"/>
              </w:rPr>
              <w:t>,</w:t>
            </w:r>
            <w:r w:rsidR="00B7771D">
              <w:rPr>
                <w:rFonts w:eastAsiaTheme="minorEastAsia"/>
                <w:sz w:val="24"/>
                <w:szCs w:val="24"/>
              </w:rPr>
              <w:t xml:space="preserve"> otro</w:t>
            </w:r>
            <w:r w:rsidR="009A59F7">
              <w:rPr>
                <w:rFonts w:eastAsiaTheme="minorEastAsia"/>
                <w:sz w:val="24"/>
                <w:szCs w:val="24"/>
              </w:rPr>
              <w:t>, trešo un ceturto</w:t>
            </w:r>
            <w:r w:rsidR="00B7771D">
              <w:rPr>
                <w:rFonts w:eastAsiaTheme="minorEastAsia"/>
                <w:sz w:val="24"/>
                <w:szCs w:val="24"/>
              </w:rPr>
              <w:t xml:space="preserve"> projektu iesniegumu atlases kārtu</w:t>
            </w:r>
            <w:r w:rsidRPr="00600B68">
              <w:rPr>
                <w:rFonts w:eastAsiaTheme="minorEastAsia"/>
                <w:sz w:val="24"/>
                <w:szCs w:val="24"/>
              </w:rPr>
              <w:t xml:space="preserve">. </w:t>
            </w:r>
            <w:r w:rsidR="00DE27E6" w:rsidRPr="00600B68">
              <w:rPr>
                <w:rFonts w:eastAsiaTheme="minorEastAsia"/>
                <w:sz w:val="24"/>
                <w:szCs w:val="24"/>
              </w:rPr>
              <w:t>20</w:t>
            </w:r>
            <w:r w:rsidR="00DE27E6">
              <w:rPr>
                <w:rFonts w:eastAsiaTheme="minorEastAsia"/>
                <w:sz w:val="24"/>
                <w:szCs w:val="24"/>
              </w:rPr>
              <w:t>21</w:t>
            </w:r>
            <w:r w:rsidR="00B7771D" w:rsidRPr="00600B68">
              <w:rPr>
                <w:rFonts w:eastAsiaTheme="minorEastAsia"/>
                <w:sz w:val="24"/>
                <w:szCs w:val="24"/>
              </w:rPr>
              <w:t xml:space="preserve">. gada </w:t>
            </w:r>
            <w:r w:rsidR="00DE27E6">
              <w:rPr>
                <w:rFonts w:eastAsiaTheme="minorEastAsia"/>
                <w:sz w:val="24"/>
                <w:szCs w:val="24"/>
              </w:rPr>
              <w:t>pirmajā</w:t>
            </w:r>
            <w:r w:rsidR="00B7771D" w:rsidRPr="00600B68">
              <w:rPr>
                <w:rFonts w:eastAsiaTheme="minorEastAsia"/>
                <w:sz w:val="24"/>
                <w:szCs w:val="24"/>
              </w:rPr>
              <w:t xml:space="preserve"> ceturksnī plānots izsludināt 1.1.1.1</w:t>
            </w:r>
            <w:r w:rsidR="009D5CC8" w:rsidRPr="00600B68">
              <w:rPr>
                <w:rFonts w:eastAsiaTheme="minorEastAsia"/>
                <w:sz w:val="24"/>
                <w:szCs w:val="24"/>
              </w:rPr>
              <w:t>.</w:t>
            </w:r>
            <w:r w:rsidR="009D5CC8">
              <w:rPr>
                <w:rFonts w:eastAsiaTheme="minorEastAsia"/>
                <w:sz w:val="24"/>
                <w:szCs w:val="24"/>
              </w:rPr>
              <w:t> </w:t>
            </w:r>
            <w:r w:rsidR="00B7771D" w:rsidRPr="00600B68">
              <w:rPr>
                <w:rFonts w:eastAsiaTheme="minorEastAsia"/>
                <w:sz w:val="24"/>
                <w:szCs w:val="24"/>
              </w:rPr>
              <w:t xml:space="preserve">pasākuma </w:t>
            </w:r>
            <w:r w:rsidR="00DE27E6">
              <w:rPr>
                <w:rFonts w:eastAsiaTheme="minorEastAsia"/>
                <w:sz w:val="24"/>
                <w:szCs w:val="24"/>
              </w:rPr>
              <w:t xml:space="preserve">piekto </w:t>
            </w:r>
            <w:r w:rsidR="003C3663">
              <w:rPr>
                <w:rFonts w:eastAsiaTheme="minorEastAsia"/>
                <w:sz w:val="24"/>
                <w:szCs w:val="24"/>
              </w:rPr>
              <w:t>p</w:t>
            </w:r>
            <w:r w:rsidR="00B7771D" w:rsidRPr="00600B68">
              <w:rPr>
                <w:rFonts w:eastAsiaTheme="minorEastAsia"/>
                <w:sz w:val="24"/>
                <w:szCs w:val="24"/>
              </w:rPr>
              <w:t xml:space="preserve">rojektu iesniegumu atlases kārtu. MK noteikumos nav </w:t>
            </w:r>
            <w:r w:rsidR="00B7771D" w:rsidRPr="00600B68">
              <w:rPr>
                <w:rFonts w:eastAsiaTheme="minorEastAsia"/>
                <w:sz w:val="24"/>
                <w:szCs w:val="24"/>
              </w:rPr>
              <w:lastRenderedPageBreak/>
              <w:t>noteikt</w:t>
            </w:r>
            <w:r w:rsidR="00B7771D">
              <w:rPr>
                <w:rFonts w:eastAsiaTheme="minorEastAsia"/>
                <w:sz w:val="24"/>
                <w:szCs w:val="24"/>
              </w:rPr>
              <w:t>i specifiski</w:t>
            </w:r>
            <w:r w:rsidR="00B7771D" w:rsidRPr="00600B68">
              <w:rPr>
                <w:rFonts w:eastAsiaTheme="minorEastAsia"/>
                <w:sz w:val="24"/>
                <w:szCs w:val="24"/>
              </w:rPr>
              <w:t xml:space="preserve"> </w:t>
            </w:r>
            <w:r w:rsidR="00DE27E6">
              <w:rPr>
                <w:rFonts w:eastAsiaTheme="minorEastAsia"/>
                <w:sz w:val="24"/>
                <w:szCs w:val="24"/>
              </w:rPr>
              <w:t>piektās</w:t>
            </w:r>
            <w:r w:rsidR="00DE27E6" w:rsidRPr="00600B68">
              <w:rPr>
                <w:rFonts w:eastAsiaTheme="minorEastAsia"/>
                <w:sz w:val="24"/>
                <w:szCs w:val="24"/>
              </w:rPr>
              <w:t xml:space="preserve"> </w:t>
            </w:r>
            <w:r w:rsidR="00B7771D" w:rsidRPr="00600B68">
              <w:rPr>
                <w:rFonts w:eastAsiaTheme="minorEastAsia"/>
                <w:sz w:val="24"/>
                <w:szCs w:val="24"/>
              </w:rPr>
              <w:t>projektu iesniegumu atlases kārtas īstenošanas noteikumi.</w:t>
            </w:r>
          </w:p>
          <w:p w14:paraId="1968F1F8" w14:textId="77777777" w:rsidR="005F5852" w:rsidRDefault="005F5852" w:rsidP="00465FF3">
            <w:pPr>
              <w:pStyle w:val="ListParagraph"/>
              <w:spacing w:before="120" w:after="120"/>
              <w:ind w:left="101" w:right="102"/>
              <w:jc w:val="both"/>
              <w:rPr>
                <w:rFonts w:eastAsiaTheme="minorEastAsia"/>
                <w:sz w:val="24"/>
                <w:szCs w:val="24"/>
              </w:rPr>
            </w:pPr>
          </w:p>
          <w:p w14:paraId="1968F1F9" w14:textId="77777777" w:rsidR="00B7771D" w:rsidRDefault="00465FF3" w:rsidP="00465FF3">
            <w:pPr>
              <w:pStyle w:val="ListParagraph"/>
              <w:spacing w:before="240" w:after="240"/>
              <w:ind w:left="102" w:right="102"/>
              <w:jc w:val="both"/>
              <w:rPr>
                <w:rFonts w:eastAsiaTheme="minorEastAsia"/>
                <w:b/>
                <w:sz w:val="24"/>
                <w:szCs w:val="24"/>
              </w:rPr>
            </w:pPr>
            <w:r w:rsidRPr="00465FF3">
              <w:rPr>
                <w:rFonts w:eastAsiaTheme="minorEastAsia"/>
                <w:b/>
                <w:sz w:val="24"/>
                <w:szCs w:val="24"/>
              </w:rPr>
              <w:t>I.  1.1.1.1. pasākumam pieejamais publiskais finansējums</w:t>
            </w:r>
          </w:p>
          <w:p w14:paraId="763A5BD7" w14:textId="3C23E6FF" w:rsidR="009A624A" w:rsidRDefault="00465FF3" w:rsidP="009A624A">
            <w:pPr>
              <w:ind w:left="101" w:right="102"/>
              <w:jc w:val="both"/>
              <w:rPr>
                <w:color w:val="000000"/>
                <w:lang w:eastAsia="en-GB"/>
              </w:rPr>
            </w:pPr>
            <w:r w:rsidRPr="0081796F">
              <w:rPr>
                <w:b/>
                <w:color w:val="000000"/>
                <w:lang w:eastAsia="en-GB"/>
              </w:rPr>
              <w:t>1.</w:t>
            </w:r>
            <w:r w:rsidRPr="00146C3F">
              <w:rPr>
                <w:color w:val="000000"/>
                <w:lang w:eastAsia="en-GB"/>
              </w:rPr>
              <w:t xml:space="preserve">  1.1.1.1. pasākumam pieejamā publiskā finansējuma apmērs palielināts par </w:t>
            </w:r>
            <w:r w:rsidR="003C3663" w:rsidRPr="00146C3F">
              <w:rPr>
                <w:color w:val="000000"/>
                <w:lang w:eastAsia="en-GB"/>
              </w:rPr>
              <w:t>12</w:t>
            </w:r>
            <w:r w:rsidR="003C3663">
              <w:rPr>
                <w:color w:val="000000"/>
                <w:lang w:eastAsia="en-GB"/>
              </w:rPr>
              <w:t> </w:t>
            </w:r>
            <w:r w:rsidR="00234A73" w:rsidRPr="00146C3F">
              <w:rPr>
                <w:color w:val="000000"/>
                <w:lang w:eastAsia="en-GB"/>
              </w:rPr>
              <w:t>170 739 EUR</w:t>
            </w:r>
            <w:r w:rsidR="005F5852">
              <w:rPr>
                <w:color w:val="000000"/>
                <w:lang w:eastAsia="en-GB"/>
              </w:rPr>
              <w:t>, tai skaitā</w:t>
            </w:r>
            <w:r w:rsidR="00234A73" w:rsidRPr="00146C3F">
              <w:rPr>
                <w:color w:val="000000"/>
                <w:lang w:eastAsia="en-GB"/>
              </w:rPr>
              <w:t xml:space="preserve"> Eiropas </w:t>
            </w:r>
            <w:r w:rsidR="005F5852">
              <w:rPr>
                <w:color w:val="000000"/>
                <w:lang w:eastAsia="en-GB"/>
              </w:rPr>
              <w:t>R</w:t>
            </w:r>
            <w:r w:rsidR="00234A73" w:rsidRPr="00146C3F">
              <w:rPr>
                <w:color w:val="000000"/>
                <w:lang w:eastAsia="en-GB"/>
              </w:rPr>
              <w:t xml:space="preserve">eģionālās attīstības fonda finansējums </w:t>
            </w:r>
            <w:r w:rsidR="0081796F" w:rsidRPr="00146C3F">
              <w:rPr>
                <w:color w:val="000000"/>
                <w:lang w:eastAsia="en-GB"/>
              </w:rPr>
              <w:t xml:space="preserve">(turpmāk – ERAF) </w:t>
            </w:r>
            <w:r w:rsidR="009A624A" w:rsidRPr="009A624A">
              <w:rPr>
                <w:color w:val="000000"/>
                <w:lang w:eastAsia="en-GB"/>
              </w:rPr>
              <w:t>10</w:t>
            </w:r>
            <w:r w:rsidR="009A624A">
              <w:rPr>
                <w:color w:val="000000"/>
                <w:lang w:eastAsia="en-GB"/>
              </w:rPr>
              <w:t> </w:t>
            </w:r>
            <w:r w:rsidR="009A624A" w:rsidRPr="009A624A">
              <w:rPr>
                <w:color w:val="000000"/>
                <w:lang w:eastAsia="en-GB"/>
              </w:rPr>
              <w:t>191</w:t>
            </w:r>
            <w:r w:rsidR="009A624A">
              <w:rPr>
                <w:color w:val="000000"/>
                <w:lang w:eastAsia="en-GB"/>
              </w:rPr>
              <w:t> </w:t>
            </w:r>
            <w:r w:rsidR="009A624A" w:rsidRPr="009A624A">
              <w:rPr>
                <w:color w:val="000000"/>
                <w:lang w:eastAsia="en-GB"/>
              </w:rPr>
              <w:t>705</w:t>
            </w:r>
            <w:r w:rsidR="00BB16A9" w:rsidRPr="00146C3F">
              <w:rPr>
                <w:color w:val="000000"/>
                <w:lang w:eastAsia="en-GB"/>
              </w:rPr>
              <w:t xml:space="preserve"> </w:t>
            </w:r>
            <w:r w:rsidR="00234A73" w:rsidRPr="00146C3F">
              <w:rPr>
                <w:color w:val="000000"/>
                <w:lang w:eastAsia="en-GB"/>
              </w:rPr>
              <w:t xml:space="preserve">EUR </w:t>
            </w:r>
            <w:r w:rsidR="005F5852">
              <w:rPr>
                <w:color w:val="000000"/>
                <w:lang w:eastAsia="en-GB"/>
              </w:rPr>
              <w:t xml:space="preserve">apmērā </w:t>
            </w:r>
            <w:r w:rsidR="00234A73" w:rsidRPr="00146C3F">
              <w:rPr>
                <w:color w:val="000000"/>
                <w:lang w:eastAsia="en-GB"/>
              </w:rPr>
              <w:t xml:space="preserve">un valsts budžeta finansējums (turpmāk – VB) </w:t>
            </w:r>
            <w:r w:rsidR="009A624A">
              <w:rPr>
                <w:b/>
                <w:bCs/>
                <w:color w:val="000000"/>
              </w:rPr>
              <w:t>1</w:t>
            </w:r>
            <w:r w:rsidR="009A624A">
              <w:rPr>
                <w:b/>
                <w:bCs/>
                <w:color w:val="000000"/>
              </w:rPr>
              <w:t> </w:t>
            </w:r>
            <w:r w:rsidR="009A624A">
              <w:rPr>
                <w:b/>
                <w:bCs/>
                <w:color w:val="000000"/>
              </w:rPr>
              <w:t>979</w:t>
            </w:r>
            <w:r w:rsidR="009A624A">
              <w:rPr>
                <w:b/>
                <w:bCs/>
                <w:color w:val="000000"/>
              </w:rPr>
              <w:t> </w:t>
            </w:r>
            <w:r w:rsidR="009A624A">
              <w:rPr>
                <w:b/>
                <w:bCs/>
                <w:color w:val="000000"/>
              </w:rPr>
              <w:t>034</w:t>
            </w:r>
            <w:r w:rsidR="00BB16A9">
              <w:rPr>
                <w:color w:val="000000"/>
                <w:lang w:eastAsia="en-GB"/>
              </w:rPr>
              <w:t xml:space="preserve"> </w:t>
            </w:r>
            <w:r w:rsidR="00234A73" w:rsidRPr="00146C3F">
              <w:rPr>
                <w:color w:val="000000"/>
                <w:lang w:eastAsia="en-GB"/>
              </w:rPr>
              <w:t>EUR</w:t>
            </w:r>
            <w:r w:rsidR="00146C3F">
              <w:rPr>
                <w:rStyle w:val="FootnoteReference"/>
                <w:color w:val="000000"/>
                <w:lang w:eastAsia="en-GB"/>
              </w:rPr>
              <w:footnoteReference w:id="2"/>
            </w:r>
            <w:r w:rsidR="005F5852">
              <w:rPr>
                <w:color w:val="000000"/>
                <w:lang w:eastAsia="en-GB"/>
              </w:rPr>
              <w:t xml:space="preserve"> apmērā (noteikumu projekta </w:t>
            </w:r>
            <w:r w:rsidR="003C3663">
              <w:rPr>
                <w:color w:val="000000"/>
                <w:lang w:eastAsia="en-GB"/>
              </w:rPr>
              <w:t>6</w:t>
            </w:r>
            <w:r w:rsidR="005F5852">
              <w:rPr>
                <w:color w:val="000000"/>
                <w:lang w:eastAsia="en-GB"/>
              </w:rPr>
              <w:t>. punkts, MK noteikumu 11. punkts)</w:t>
            </w:r>
            <w:r w:rsidRPr="00146C3F">
              <w:rPr>
                <w:color w:val="000000"/>
                <w:lang w:eastAsia="en-GB"/>
              </w:rPr>
              <w:t>, ko veido:</w:t>
            </w:r>
            <w:r w:rsidR="00234A73" w:rsidRPr="00146C3F">
              <w:rPr>
                <w:color w:val="000000"/>
                <w:lang w:eastAsia="en-GB"/>
              </w:rPr>
              <w:t xml:space="preserve"> </w:t>
            </w:r>
          </w:p>
          <w:p w14:paraId="1968F1FB" w14:textId="5DA42242" w:rsidR="00234A73" w:rsidRDefault="00234A73" w:rsidP="00146C3F">
            <w:pPr>
              <w:spacing w:before="120" w:after="120"/>
              <w:ind w:left="102" w:right="102"/>
              <w:jc w:val="both"/>
              <w:rPr>
                <w:color w:val="000000"/>
                <w:lang w:eastAsia="en-GB"/>
              </w:rPr>
            </w:pPr>
            <w:r w:rsidRPr="00E508B6">
              <w:rPr>
                <w:b/>
                <w:color w:val="000000"/>
                <w:lang w:eastAsia="en-GB"/>
              </w:rPr>
              <w:t>1.1.</w:t>
            </w:r>
            <w:r w:rsidR="00146C3F">
              <w:rPr>
                <w:color w:val="000000"/>
                <w:lang w:eastAsia="en-GB"/>
              </w:rPr>
              <w:t> </w:t>
            </w:r>
            <w:r w:rsidRPr="00146C3F">
              <w:rPr>
                <w:color w:val="000000"/>
                <w:lang w:eastAsia="en-GB"/>
              </w:rPr>
              <w:t xml:space="preserve">publiskā finansējuma pārdale no 1.1.1.3. pasākuma </w:t>
            </w:r>
            <w:r w:rsidR="00146C3F" w:rsidRPr="00146C3F">
              <w:rPr>
                <w:color w:val="000000"/>
                <w:lang w:eastAsia="en-GB"/>
              </w:rPr>
              <w:t>"Inovāciju granti studentiem"</w:t>
            </w:r>
            <w:r w:rsidR="00146C3F">
              <w:rPr>
                <w:color w:val="000000"/>
                <w:lang w:eastAsia="en-GB"/>
              </w:rPr>
              <w:t xml:space="preserve"> </w:t>
            </w:r>
            <w:r w:rsidR="00E508B6">
              <w:rPr>
                <w:color w:val="000000"/>
                <w:lang w:eastAsia="en-GB"/>
              </w:rPr>
              <w:t>1</w:t>
            </w:r>
            <w:r w:rsidR="0081796F">
              <w:rPr>
                <w:color w:val="000000"/>
                <w:lang w:eastAsia="en-GB"/>
              </w:rPr>
              <w:t> </w:t>
            </w:r>
            <w:r w:rsidR="00E508B6">
              <w:rPr>
                <w:color w:val="000000"/>
                <w:lang w:eastAsia="en-GB"/>
              </w:rPr>
              <w:t>062 000 EUR apmērā, ko veido ERAF finansējums</w:t>
            </w:r>
            <w:r w:rsidR="003C3663">
              <w:rPr>
                <w:color w:val="000000"/>
                <w:lang w:eastAsia="en-GB"/>
              </w:rPr>
              <w:t xml:space="preserve"> 1 062 000 EUR</w:t>
            </w:r>
            <w:r w:rsidR="00042842">
              <w:rPr>
                <w:color w:val="000000"/>
                <w:lang w:eastAsia="en-GB"/>
              </w:rPr>
              <w:t xml:space="preserve">. Pārdali pamato MK </w:t>
            </w:r>
            <w:r w:rsidR="002F6893">
              <w:rPr>
                <w:color w:val="000000"/>
                <w:lang w:eastAsia="en-GB"/>
              </w:rPr>
              <w:t xml:space="preserve">2020.gada 17.novembra </w:t>
            </w:r>
            <w:r w:rsidR="00042842">
              <w:rPr>
                <w:color w:val="000000"/>
                <w:lang w:eastAsia="en-GB"/>
              </w:rPr>
              <w:t xml:space="preserve">noteikumi </w:t>
            </w:r>
            <w:r w:rsidR="002F6893">
              <w:rPr>
                <w:color w:val="000000"/>
                <w:lang w:eastAsia="en-GB"/>
              </w:rPr>
              <w:t xml:space="preserve">Nr.684 </w:t>
            </w:r>
            <w:r w:rsidR="00042842" w:rsidRPr="00042842">
              <w:rPr>
                <w:color w:val="000000"/>
                <w:lang w:eastAsia="en-GB"/>
              </w:rPr>
              <w:t>"Grozījumi Ministru kabineta 2018.gada 16.janvāra noteikumos Nr.41 "Darbības programmas "Izaugsme un nodarbinātība" 1.1.1.specifiskā atbalsta mērķa "Palielināt Latvijas zinātnisko institūciju pētniecisko un inovatīvo kapacitāti un spēju piesaistīt ārējo finansējumu, ieguldot cilvēkresursos un infrastruktūrā" 1.1.1.3.pasākuma "Inovāciju granti studentiem"</w:t>
            </w:r>
            <w:r w:rsidR="00A5187C">
              <w:rPr>
                <w:color w:val="000000"/>
                <w:lang w:eastAsia="en-GB"/>
              </w:rPr>
              <w:t xml:space="preserve"> īstenošanas noteikumi””</w:t>
            </w:r>
            <w:r w:rsidR="003C3663">
              <w:rPr>
                <w:color w:val="000000"/>
                <w:lang w:eastAsia="en-GB"/>
              </w:rPr>
              <w:t>;</w:t>
            </w:r>
          </w:p>
          <w:p w14:paraId="1968F1FC" w14:textId="1059827E" w:rsidR="00E508B6" w:rsidRDefault="00E508B6" w:rsidP="00146C3F">
            <w:pPr>
              <w:spacing w:before="120" w:after="120"/>
              <w:ind w:left="102" w:right="102"/>
              <w:jc w:val="both"/>
              <w:rPr>
                <w:color w:val="000000"/>
                <w:lang w:eastAsia="en-GB"/>
              </w:rPr>
            </w:pPr>
            <w:r w:rsidRPr="00E508B6">
              <w:rPr>
                <w:b/>
                <w:color w:val="000000"/>
                <w:lang w:eastAsia="en-GB"/>
              </w:rPr>
              <w:t>1.2.</w:t>
            </w:r>
            <w:r>
              <w:rPr>
                <w:color w:val="000000"/>
                <w:lang w:eastAsia="en-GB"/>
              </w:rPr>
              <w:t> </w:t>
            </w:r>
            <w:r w:rsidRPr="00E508B6">
              <w:rPr>
                <w:color w:val="000000"/>
                <w:lang w:eastAsia="en-GB"/>
              </w:rPr>
              <w:t>pārdale no 1.1.1.4. pasākuma "P&amp;A infrastruktūras attīstīšana viedās specializācijas jomās un zinātnisko institūciju institucionālās kapacitātes stiprināšana" 7</w:t>
            </w:r>
            <w:r>
              <w:rPr>
                <w:color w:val="000000"/>
                <w:lang w:eastAsia="en-GB"/>
              </w:rPr>
              <w:t> </w:t>
            </w:r>
            <w:r w:rsidRPr="00E508B6">
              <w:rPr>
                <w:color w:val="000000"/>
                <w:lang w:eastAsia="en-GB"/>
              </w:rPr>
              <w:t>733</w:t>
            </w:r>
            <w:r>
              <w:rPr>
                <w:color w:val="000000"/>
                <w:lang w:eastAsia="en-GB"/>
              </w:rPr>
              <w:t xml:space="preserve"> EUR, ko veido ERAF </w:t>
            </w:r>
            <w:r w:rsidRPr="00E508B6">
              <w:rPr>
                <w:color w:val="000000"/>
                <w:lang w:eastAsia="en-GB"/>
              </w:rPr>
              <w:t>6</w:t>
            </w:r>
            <w:r>
              <w:rPr>
                <w:color w:val="000000"/>
                <w:lang w:eastAsia="en-GB"/>
              </w:rPr>
              <w:t> </w:t>
            </w:r>
            <w:r w:rsidRPr="00E508B6">
              <w:rPr>
                <w:color w:val="000000"/>
                <w:lang w:eastAsia="en-GB"/>
              </w:rPr>
              <w:t>573</w:t>
            </w:r>
            <w:r>
              <w:rPr>
                <w:color w:val="000000"/>
                <w:lang w:eastAsia="en-GB"/>
              </w:rPr>
              <w:t xml:space="preserve"> EUR </w:t>
            </w:r>
            <w:r w:rsidR="005F5852">
              <w:rPr>
                <w:color w:val="000000"/>
                <w:lang w:eastAsia="en-GB"/>
              </w:rPr>
              <w:t xml:space="preserve">apmērā </w:t>
            </w:r>
            <w:r>
              <w:rPr>
                <w:color w:val="000000"/>
                <w:lang w:eastAsia="en-GB"/>
              </w:rPr>
              <w:t xml:space="preserve">un VB </w:t>
            </w:r>
            <w:r w:rsidRPr="00E508B6">
              <w:rPr>
                <w:color w:val="000000"/>
                <w:lang w:eastAsia="en-GB"/>
              </w:rPr>
              <w:t>1</w:t>
            </w:r>
            <w:r>
              <w:rPr>
                <w:color w:val="000000"/>
                <w:lang w:eastAsia="en-GB"/>
              </w:rPr>
              <w:t> </w:t>
            </w:r>
            <w:r w:rsidRPr="00E508B6">
              <w:rPr>
                <w:color w:val="000000"/>
                <w:lang w:eastAsia="en-GB"/>
              </w:rPr>
              <w:t>160</w:t>
            </w:r>
            <w:r>
              <w:rPr>
                <w:color w:val="000000"/>
                <w:lang w:eastAsia="en-GB"/>
              </w:rPr>
              <w:t xml:space="preserve"> EUR </w:t>
            </w:r>
            <w:r w:rsidR="005F5852">
              <w:rPr>
                <w:color w:val="000000"/>
                <w:lang w:eastAsia="en-GB"/>
              </w:rPr>
              <w:t xml:space="preserve">apmērā </w:t>
            </w:r>
            <w:r>
              <w:rPr>
                <w:color w:val="000000"/>
                <w:lang w:eastAsia="en-GB"/>
              </w:rPr>
              <w:t>(neatbilstoši veikt</w:t>
            </w:r>
            <w:r w:rsidR="005F5852">
              <w:rPr>
                <w:color w:val="000000"/>
                <w:lang w:eastAsia="en-GB"/>
              </w:rPr>
              <w:t>o</w:t>
            </w:r>
            <w:r>
              <w:rPr>
                <w:color w:val="000000"/>
                <w:lang w:eastAsia="en-GB"/>
              </w:rPr>
              <w:t xml:space="preserve"> izmaks</w:t>
            </w:r>
            <w:r w:rsidR="005F5852">
              <w:rPr>
                <w:color w:val="000000"/>
                <w:lang w:eastAsia="en-GB"/>
              </w:rPr>
              <w:t>u pārdale</w:t>
            </w:r>
            <w:r w:rsidRPr="00E508B6">
              <w:rPr>
                <w:color w:val="000000"/>
                <w:lang w:eastAsia="en-GB"/>
              </w:rPr>
              <w:t>)</w:t>
            </w:r>
            <w:r w:rsidR="00042842">
              <w:rPr>
                <w:color w:val="000000"/>
                <w:lang w:eastAsia="en-GB"/>
              </w:rPr>
              <w:t xml:space="preserve">. </w:t>
            </w:r>
            <w:r w:rsidR="00042842" w:rsidRPr="00042842">
              <w:rPr>
                <w:color w:val="000000"/>
                <w:lang w:eastAsia="en-GB"/>
              </w:rPr>
              <w:t xml:space="preserve">Pārdali pamato MK 2020. gada </w:t>
            </w:r>
            <w:r w:rsidR="00042842">
              <w:rPr>
                <w:color w:val="000000"/>
                <w:lang w:eastAsia="en-GB"/>
              </w:rPr>
              <w:t>3</w:t>
            </w:r>
            <w:r w:rsidR="00042842" w:rsidRPr="00042842">
              <w:rPr>
                <w:color w:val="000000"/>
                <w:lang w:eastAsia="en-GB"/>
              </w:rPr>
              <w:t xml:space="preserve">. </w:t>
            </w:r>
            <w:r w:rsidR="00042842">
              <w:rPr>
                <w:color w:val="000000"/>
                <w:lang w:eastAsia="en-GB"/>
              </w:rPr>
              <w:t>novem</w:t>
            </w:r>
            <w:r w:rsidR="00B63CB1">
              <w:rPr>
                <w:color w:val="000000"/>
                <w:lang w:eastAsia="en-GB"/>
              </w:rPr>
              <w:t>b</w:t>
            </w:r>
            <w:r w:rsidR="00042842">
              <w:rPr>
                <w:color w:val="000000"/>
                <w:lang w:eastAsia="en-GB"/>
              </w:rPr>
              <w:t>ra</w:t>
            </w:r>
            <w:r w:rsidR="00042842" w:rsidRPr="00042842">
              <w:rPr>
                <w:color w:val="000000"/>
                <w:lang w:eastAsia="en-GB"/>
              </w:rPr>
              <w:t xml:space="preserve"> noteikumu </w:t>
            </w:r>
            <w:r w:rsidR="00042842">
              <w:rPr>
                <w:color w:val="000000"/>
                <w:lang w:eastAsia="en-GB"/>
              </w:rPr>
              <w:t xml:space="preserve">Nr. </w:t>
            </w:r>
            <w:r w:rsidR="00042842" w:rsidRPr="00042842">
              <w:rPr>
                <w:color w:val="000000"/>
                <w:lang w:eastAsia="en-GB"/>
              </w:rPr>
              <w:t>658</w:t>
            </w:r>
            <w:r w:rsidR="00042842">
              <w:rPr>
                <w:color w:val="000000"/>
                <w:lang w:eastAsia="en-GB"/>
              </w:rPr>
              <w:t xml:space="preserve"> </w:t>
            </w:r>
            <w:r w:rsidR="00042842" w:rsidRPr="00042842">
              <w:rPr>
                <w:color w:val="000000"/>
                <w:lang w:eastAsia="en-GB"/>
              </w:rPr>
              <w:t>"Grozījumi Ministru kabineta 2016. gada 16. augusta noteikumos Nr. 562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 anotācijā sniegtā informācija</w:t>
            </w:r>
            <w:r w:rsidR="00F30E16">
              <w:rPr>
                <w:color w:val="000000"/>
                <w:lang w:eastAsia="en-GB"/>
              </w:rPr>
              <w:t>;</w:t>
            </w:r>
          </w:p>
          <w:p w14:paraId="1968F1FD" w14:textId="10C606B7" w:rsidR="00B86DD8" w:rsidRPr="00146C3F" w:rsidRDefault="00465FF3" w:rsidP="00146C3F">
            <w:pPr>
              <w:spacing w:before="120" w:after="120"/>
              <w:ind w:left="102" w:right="102"/>
              <w:jc w:val="both"/>
              <w:rPr>
                <w:color w:val="000000"/>
                <w:lang w:eastAsia="en-GB"/>
              </w:rPr>
            </w:pPr>
            <w:r w:rsidRPr="00146C3F">
              <w:rPr>
                <w:b/>
                <w:color w:val="000000"/>
                <w:lang w:eastAsia="en-GB"/>
              </w:rPr>
              <w:t>1.</w:t>
            </w:r>
            <w:r w:rsidR="00146C3F" w:rsidRPr="00146C3F">
              <w:rPr>
                <w:b/>
                <w:color w:val="000000"/>
                <w:lang w:eastAsia="en-GB"/>
              </w:rPr>
              <w:t>3</w:t>
            </w:r>
            <w:r w:rsidRPr="00146C3F">
              <w:rPr>
                <w:b/>
                <w:color w:val="000000"/>
                <w:lang w:eastAsia="en-GB"/>
              </w:rPr>
              <w:t>.</w:t>
            </w:r>
            <w:r w:rsidRPr="00146C3F">
              <w:rPr>
                <w:color w:val="000000"/>
                <w:lang w:eastAsia="en-GB"/>
              </w:rPr>
              <w:t> </w:t>
            </w:r>
            <w:r w:rsidR="00146C3F">
              <w:rPr>
                <w:color w:val="000000"/>
                <w:lang w:eastAsia="en-GB"/>
              </w:rPr>
              <w:t> </w:t>
            </w:r>
            <w:r w:rsidR="00B86DD8" w:rsidRPr="00146C3F">
              <w:rPr>
                <w:color w:val="000000"/>
                <w:lang w:eastAsia="en-GB"/>
              </w:rPr>
              <w:t xml:space="preserve">1.1.1.5. pasākuma "Atbalsts starptautiskās sadarbības projektiem pētniecībā un inovācijās" pirmās projektu iesniegumu kārtas snieguma rezerves finansējuma pārdale 101 006,00 EUR apmērā, tai skaitā ERAF finansējums 85 855,10 EUR apmērā un valsts budžeta finansējums 15 150,90 EUR apmērā. Pārdali pamato MK 2020. gada 11. augusta noteikumu </w:t>
            </w:r>
            <w:r w:rsidR="00A5187C">
              <w:rPr>
                <w:color w:val="000000"/>
                <w:lang w:eastAsia="en-GB"/>
              </w:rPr>
              <w:t>Nr.</w:t>
            </w:r>
            <w:r w:rsidR="00876070">
              <w:rPr>
                <w:color w:val="000000"/>
                <w:lang w:eastAsia="en-GB"/>
              </w:rPr>
              <w:t xml:space="preserve"> </w:t>
            </w:r>
            <w:r w:rsidR="00A5187C">
              <w:rPr>
                <w:color w:val="000000"/>
                <w:lang w:eastAsia="en-GB"/>
              </w:rPr>
              <w:t xml:space="preserve">506 </w:t>
            </w:r>
            <w:r w:rsidR="00B86DD8" w:rsidRPr="00146C3F">
              <w:rPr>
                <w:color w:val="000000"/>
                <w:lang w:eastAsia="en-GB"/>
              </w:rPr>
              <w:t xml:space="preserve">"Grozījumi Ministru kabineta 2017.gada 6.jūnija noteikumos Nr.315 "Darbības programmas "Izaugsme un nodarbinātība" 1.1.1.specifiskā atbalsta mērķa "Palielināt Latvijas zinātnisko institūciju pētniecisko un inovatīvo kapacitāti un spēju piesaistīt ārējo finansējumu, </w:t>
            </w:r>
            <w:r w:rsidR="00B86DD8" w:rsidRPr="00146C3F">
              <w:rPr>
                <w:color w:val="000000"/>
                <w:lang w:eastAsia="en-GB"/>
              </w:rPr>
              <w:lastRenderedPageBreak/>
              <w:t>ieguldot cilvēkresursos un infrastruktūrā" 1.1.1.5.pasākuma "Atbalsts starptautiskās sadarbības projektiem pētniecībā un inovācijās" pirmās, otrās un trešās projektu iesniegumu atlases kārtas īstenošanas noteikumi"" anotācijā sniegtā informācija</w:t>
            </w:r>
            <w:r w:rsidR="00A5187C">
              <w:rPr>
                <w:color w:val="000000"/>
                <w:lang w:eastAsia="en-GB"/>
              </w:rPr>
              <w:t xml:space="preserve">. </w:t>
            </w:r>
          </w:p>
          <w:p w14:paraId="63A7C463" w14:textId="53FCDCBC" w:rsidR="009A624A" w:rsidRDefault="00465FF3" w:rsidP="009A624A">
            <w:pPr>
              <w:ind w:left="101" w:right="102"/>
              <w:jc w:val="both"/>
              <w:rPr>
                <w:color w:val="000000"/>
                <w:lang w:eastAsia="en-GB"/>
              </w:rPr>
            </w:pPr>
            <w:r w:rsidRPr="00E508B6">
              <w:rPr>
                <w:b/>
                <w:color w:val="000000"/>
                <w:lang w:eastAsia="en-GB"/>
              </w:rPr>
              <w:t>1.</w:t>
            </w:r>
            <w:r w:rsidR="00E508B6" w:rsidRPr="00E508B6">
              <w:rPr>
                <w:b/>
                <w:color w:val="000000"/>
                <w:lang w:eastAsia="en-GB"/>
              </w:rPr>
              <w:t>4</w:t>
            </w:r>
            <w:r w:rsidRPr="00E508B6">
              <w:rPr>
                <w:b/>
                <w:color w:val="000000"/>
                <w:lang w:eastAsia="en-GB"/>
              </w:rPr>
              <w:t>.</w:t>
            </w:r>
            <w:r w:rsidRPr="00146C3F">
              <w:rPr>
                <w:color w:val="000000"/>
                <w:lang w:eastAsia="en-GB"/>
              </w:rPr>
              <w:t> </w:t>
            </w:r>
            <w:proofErr w:type="spellStart"/>
            <w:r w:rsidRPr="00146C3F">
              <w:rPr>
                <w:color w:val="000000"/>
                <w:lang w:eastAsia="en-GB"/>
              </w:rPr>
              <w:t>virssaistību</w:t>
            </w:r>
            <w:proofErr w:type="spellEnd"/>
            <w:r w:rsidRPr="00146C3F">
              <w:rPr>
                <w:color w:val="000000"/>
                <w:lang w:eastAsia="en-GB"/>
              </w:rPr>
              <w:t xml:space="preserve"> finansējums </w:t>
            </w:r>
            <w:r w:rsidR="00242FCB" w:rsidRPr="00146C3F">
              <w:rPr>
                <w:color w:val="000000"/>
                <w:lang w:eastAsia="en-GB"/>
              </w:rPr>
              <w:t>11</w:t>
            </w:r>
            <w:r w:rsidR="00F30E16">
              <w:rPr>
                <w:color w:val="000000"/>
                <w:lang w:eastAsia="en-GB"/>
              </w:rPr>
              <w:t> 000 000</w:t>
            </w:r>
            <w:r w:rsidR="00A5187C">
              <w:rPr>
                <w:color w:val="000000"/>
                <w:lang w:eastAsia="en-GB"/>
              </w:rPr>
              <w:t xml:space="preserve"> </w:t>
            </w:r>
            <w:r w:rsidRPr="00146C3F">
              <w:rPr>
                <w:color w:val="000000"/>
                <w:lang w:eastAsia="en-GB"/>
              </w:rPr>
              <w:t xml:space="preserve">EUR apmērā, tai skaitā ERAF </w:t>
            </w:r>
            <w:r w:rsidR="009A624A">
              <w:rPr>
                <w:color w:val="000000"/>
                <w:lang w:eastAsia="en-GB"/>
              </w:rPr>
              <w:t>9 037 </w:t>
            </w:r>
            <w:r w:rsidR="009A624A" w:rsidRPr="009A624A">
              <w:rPr>
                <w:color w:val="000000"/>
                <w:lang w:eastAsia="en-GB"/>
              </w:rPr>
              <w:t>277</w:t>
            </w:r>
            <w:r w:rsidR="00C46A10">
              <w:rPr>
                <w:color w:val="000000"/>
                <w:lang w:eastAsia="en-GB"/>
              </w:rPr>
              <w:t xml:space="preserve"> </w:t>
            </w:r>
            <w:r w:rsidRPr="00146C3F">
              <w:rPr>
                <w:color w:val="000000"/>
                <w:lang w:eastAsia="en-GB"/>
              </w:rPr>
              <w:t xml:space="preserve">EUR apmērā un </w:t>
            </w:r>
            <w:r w:rsidR="00E508B6">
              <w:rPr>
                <w:color w:val="000000"/>
                <w:lang w:eastAsia="en-GB"/>
              </w:rPr>
              <w:t>VB</w:t>
            </w:r>
            <w:r w:rsidRPr="00146C3F">
              <w:rPr>
                <w:color w:val="000000"/>
                <w:lang w:eastAsia="en-GB"/>
              </w:rPr>
              <w:t xml:space="preserve"> finansējums </w:t>
            </w:r>
            <w:r w:rsidR="009A624A">
              <w:rPr>
                <w:bCs/>
                <w:color w:val="000000"/>
              </w:rPr>
              <w:t>1 962 </w:t>
            </w:r>
            <w:r w:rsidR="009A624A" w:rsidRPr="009A624A">
              <w:rPr>
                <w:bCs/>
                <w:color w:val="000000"/>
              </w:rPr>
              <w:t>723</w:t>
            </w:r>
            <w:r w:rsidR="00C46A10">
              <w:rPr>
                <w:color w:val="000000"/>
                <w:lang w:eastAsia="en-GB"/>
              </w:rPr>
              <w:t xml:space="preserve"> </w:t>
            </w:r>
            <w:r w:rsidRPr="00146C3F">
              <w:rPr>
                <w:color w:val="000000"/>
                <w:lang w:eastAsia="en-GB"/>
              </w:rPr>
              <w:t>EUR apmērā, kuru plānots piešķirt atbilstoši MK 2020. gada 11. augusta sēdes protokola Nr. 47 84.§ 2.1. apakšpunktā noteiktajam, ka Covid-19 seku mīkstināšanas pasākumu ietvaros 1.1.1.1. pasākuma īstenošanai paredzēts novirzīt 11,0 miljonus EUR.</w:t>
            </w:r>
            <w:r w:rsidR="001D39EA" w:rsidRPr="00146C3F">
              <w:rPr>
                <w:color w:val="000000"/>
                <w:lang w:eastAsia="en-GB"/>
              </w:rPr>
              <w:t xml:space="preserve"> </w:t>
            </w:r>
          </w:p>
          <w:p w14:paraId="1968F200" w14:textId="3F9E1118" w:rsidR="003C3663" w:rsidRDefault="0081796F" w:rsidP="0081796F">
            <w:pPr>
              <w:spacing w:before="120" w:after="120"/>
              <w:ind w:left="102" w:right="102"/>
              <w:jc w:val="both"/>
              <w:rPr>
                <w:b/>
                <w:color w:val="000000"/>
                <w:lang w:eastAsia="en-GB"/>
              </w:rPr>
            </w:pPr>
            <w:r w:rsidRPr="0081796F">
              <w:rPr>
                <w:b/>
                <w:color w:val="000000"/>
                <w:lang w:eastAsia="en-GB"/>
              </w:rPr>
              <w:t>2. </w:t>
            </w:r>
            <w:r w:rsidR="003C3663">
              <w:rPr>
                <w:color w:val="000000"/>
                <w:lang w:eastAsia="en-GB"/>
              </w:rPr>
              <w:t>A</w:t>
            </w:r>
            <w:r w:rsidR="00396C58" w:rsidRPr="00396C58">
              <w:rPr>
                <w:color w:val="000000"/>
                <w:lang w:eastAsia="en-GB"/>
              </w:rPr>
              <w:t xml:space="preserve">ktualizēts </w:t>
            </w:r>
            <w:r w:rsidRPr="0081796F">
              <w:rPr>
                <w:color w:val="000000"/>
                <w:lang w:eastAsia="en-GB"/>
              </w:rPr>
              <w:t xml:space="preserve">1.1.1.1. pasākuma </w:t>
            </w:r>
            <w:r w:rsidR="00396C58">
              <w:rPr>
                <w:color w:val="000000"/>
                <w:lang w:eastAsia="en-GB"/>
              </w:rPr>
              <w:t xml:space="preserve">pirmajai un otrajai </w:t>
            </w:r>
            <w:r w:rsidRPr="0081796F">
              <w:rPr>
                <w:color w:val="000000"/>
                <w:lang w:eastAsia="en-GB"/>
              </w:rPr>
              <w:t xml:space="preserve">projektu iesniegumu atlases kārtai </w:t>
            </w:r>
            <w:r>
              <w:rPr>
                <w:color w:val="000000"/>
                <w:lang w:eastAsia="en-GB"/>
              </w:rPr>
              <w:t>pieejamais publiskais finansējums</w:t>
            </w:r>
            <w:r w:rsidR="00396C58">
              <w:rPr>
                <w:color w:val="000000"/>
                <w:lang w:eastAsia="en-GB"/>
              </w:rPr>
              <w:t xml:space="preserve">, to samazinot par neapgūto finansējumu, ko pamato </w:t>
            </w:r>
            <w:r w:rsidR="00876070" w:rsidRPr="00876070">
              <w:rPr>
                <w:color w:val="000000"/>
                <w:lang w:eastAsia="en-GB"/>
              </w:rPr>
              <w:t xml:space="preserve">Kohēzijas politikas fondu vadības informācijas </w:t>
            </w:r>
            <w:r w:rsidR="00396C58">
              <w:rPr>
                <w:color w:val="000000"/>
                <w:lang w:eastAsia="en-GB"/>
              </w:rPr>
              <w:t xml:space="preserve">sistēmā sniegtā informācija. Publiskā finansējuma samazinājumu veido neatbilstoši veiktās izmaksas un lauzti līgumi par 1.1.1.1. pasākuma projektu īstenošanu </w:t>
            </w:r>
            <w:r w:rsidR="005F5852">
              <w:rPr>
                <w:color w:val="000000"/>
                <w:lang w:eastAsia="en-GB"/>
              </w:rPr>
              <w:t xml:space="preserve">(noteikumu projekta </w:t>
            </w:r>
            <w:r w:rsidR="00876070">
              <w:rPr>
                <w:color w:val="000000"/>
                <w:lang w:eastAsia="en-GB"/>
              </w:rPr>
              <w:t xml:space="preserve">6., </w:t>
            </w:r>
            <w:r w:rsidR="005F5852">
              <w:rPr>
                <w:color w:val="000000"/>
                <w:lang w:eastAsia="en-GB"/>
              </w:rPr>
              <w:t>7., 8.</w:t>
            </w:r>
            <w:r w:rsidR="003C3663">
              <w:rPr>
                <w:color w:val="000000"/>
                <w:lang w:eastAsia="en-GB"/>
              </w:rPr>
              <w:t>., 9.</w:t>
            </w:r>
            <w:r w:rsidR="00135B09">
              <w:rPr>
                <w:color w:val="000000"/>
                <w:lang w:eastAsia="en-GB"/>
              </w:rPr>
              <w:t xml:space="preserve"> </w:t>
            </w:r>
            <w:r w:rsidR="005F5852">
              <w:rPr>
                <w:color w:val="000000"/>
                <w:lang w:eastAsia="en-GB"/>
              </w:rPr>
              <w:t>punkts, MK noteikumu 11.</w:t>
            </w:r>
            <w:r w:rsidR="0094780E" w:rsidRPr="0094780E">
              <w:rPr>
                <w:color w:val="000000"/>
                <w:vertAlign w:val="superscript"/>
                <w:lang w:eastAsia="en-GB"/>
              </w:rPr>
              <w:t>1</w:t>
            </w:r>
            <w:r w:rsidR="005F5852">
              <w:rPr>
                <w:color w:val="000000"/>
                <w:lang w:eastAsia="en-GB"/>
              </w:rPr>
              <w:t xml:space="preserve"> </w:t>
            </w:r>
            <w:r w:rsidR="0094780E">
              <w:rPr>
                <w:color w:val="000000"/>
                <w:lang w:eastAsia="en-GB"/>
              </w:rPr>
              <w:t>un 12.</w:t>
            </w:r>
            <w:r w:rsidR="0094780E" w:rsidRPr="0094780E">
              <w:rPr>
                <w:color w:val="000000"/>
                <w:vertAlign w:val="superscript"/>
                <w:lang w:eastAsia="en-GB"/>
              </w:rPr>
              <w:t>1</w:t>
            </w:r>
            <w:r w:rsidR="0094780E">
              <w:rPr>
                <w:color w:val="000000"/>
                <w:lang w:eastAsia="en-GB"/>
              </w:rPr>
              <w:t xml:space="preserve"> </w:t>
            </w:r>
            <w:r w:rsidR="005F5852">
              <w:rPr>
                <w:color w:val="000000"/>
                <w:lang w:eastAsia="en-GB"/>
              </w:rPr>
              <w:t>punkts)</w:t>
            </w:r>
            <w:r w:rsidR="003C3663">
              <w:rPr>
                <w:b/>
                <w:color w:val="000000"/>
                <w:lang w:eastAsia="en-GB"/>
              </w:rPr>
              <w:t>.</w:t>
            </w:r>
          </w:p>
          <w:p w14:paraId="1968F201" w14:textId="66ABF2D0" w:rsidR="004D3C03" w:rsidRDefault="0094780E" w:rsidP="0081796F">
            <w:pPr>
              <w:spacing w:before="120" w:after="120"/>
              <w:ind w:left="102" w:right="102"/>
              <w:jc w:val="both"/>
              <w:rPr>
                <w:color w:val="000000"/>
                <w:lang w:eastAsia="en-GB"/>
              </w:rPr>
            </w:pPr>
            <w:r w:rsidRPr="0094780E">
              <w:rPr>
                <w:b/>
                <w:color w:val="000000"/>
                <w:lang w:eastAsia="en-GB"/>
              </w:rPr>
              <w:t>3. </w:t>
            </w:r>
            <w:r w:rsidR="003C3663">
              <w:rPr>
                <w:color w:val="000000"/>
                <w:lang w:eastAsia="en-GB"/>
              </w:rPr>
              <w:t>P</w:t>
            </w:r>
            <w:r w:rsidR="004C4AF4">
              <w:rPr>
                <w:color w:val="000000"/>
                <w:lang w:eastAsia="en-GB"/>
              </w:rPr>
              <w:t>alielināts</w:t>
            </w:r>
            <w:r w:rsidRPr="0094780E">
              <w:rPr>
                <w:color w:val="000000"/>
                <w:lang w:eastAsia="en-GB"/>
              </w:rPr>
              <w:t xml:space="preserve"> 1.1.1.1. pasākuma</w:t>
            </w:r>
            <w:r>
              <w:rPr>
                <w:b/>
                <w:color w:val="000000"/>
                <w:lang w:eastAsia="en-GB"/>
              </w:rPr>
              <w:t xml:space="preserve"> </w:t>
            </w:r>
            <w:r w:rsidRPr="0094780E">
              <w:rPr>
                <w:color w:val="000000"/>
                <w:lang w:eastAsia="en-GB"/>
              </w:rPr>
              <w:t>trešajai</w:t>
            </w:r>
            <w:r>
              <w:rPr>
                <w:b/>
                <w:color w:val="000000"/>
                <w:lang w:eastAsia="en-GB"/>
              </w:rPr>
              <w:t xml:space="preserve"> </w:t>
            </w:r>
            <w:r w:rsidRPr="0081796F">
              <w:rPr>
                <w:color w:val="000000"/>
                <w:lang w:eastAsia="en-GB"/>
              </w:rPr>
              <w:t xml:space="preserve">projektu iesniegumu atlases kārtai </w:t>
            </w:r>
            <w:r>
              <w:rPr>
                <w:color w:val="000000"/>
                <w:lang w:eastAsia="en-GB"/>
              </w:rPr>
              <w:t xml:space="preserve">pieejamais publiskais finansējums par </w:t>
            </w:r>
            <w:r w:rsidR="00804C27" w:rsidRPr="00804C27">
              <w:rPr>
                <w:color w:val="000000"/>
                <w:lang w:eastAsia="en-GB"/>
              </w:rPr>
              <w:t>2</w:t>
            </w:r>
            <w:r w:rsidR="00804C27">
              <w:rPr>
                <w:color w:val="000000"/>
                <w:lang w:eastAsia="en-GB"/>
              </w:rPr>
              <w:t> </w:t>
            </w:r>
            <w:r w:rsidR="00804C27" w:rsidRPr="00804C27">
              <w:rPr>
                <w:color w:val="000000"/>
                <w:lang w:eastAsia="en-GB"/>
              </w:rPr>
              <w:t>389</w:t>
            </w:r>
            <w:r w:rsidR="00804C27">
              <w:rPr>
                <w:color w:val="000000"/>
                <w:lang w:eastAsia="en-GB"/>
              </w:rPr>
              <w:t> </w:t>
            </w:r>
            <w:r w:rsidR="00804C27" w:rsidRPr="00804C27">
              <w:rPr>
                <w:color w:val="000000"/>
                <w:lang w:eastAsia="en-GB"/>
              </w:rPr>
              <w:t>018</w:t>
            </w:r>
            <w:r w:rsidR="00804C27">
              <w:rPr>
                <w:color w:val="000000"/>
                <w:lang w:eastAsia="en-GB"/>
              </w:rPr>
              <w:t xml:space="preserve"> </w:t>
            </w:r>
            <w:r>
              <w:rPr>
                <w:color w:val="000000"/>
                <w:lang w:eastAsia="en-GB"/>
              </w:rPr>
              <w:t xml:space="preserve">EUR, </w:t>
            </w:r>
            <w:r w:rsidRPr="0094780E">
              <w:rPr>
                <w:color w:val="000000"/>
                <w:lang w:eastAsia="en-GB"/>
              </w:rPr>
              <w:t xml:space="preserve">tai skaitā ERAF </w:t>
            </w:r>
            <w:r w:rsidR="00804C27" w:rsidRPr="00804C27">
              <w:rPr>
                <w:color w:val="000000"/>
                <w:lang w:eastAsia="en-GB"/>
              </w:rPr>
              <w:t>1</w:t>
            </w:r>
            <w:r w:rsidR="00804C27">
              <w:rPr>
                <w:color w:val="000000"/>
                <w:lang w:eastAsia="en-GB"/>
              </w:rPr>
              <w:t> </w:t>
            </w:r>
            <w:r w:rsidR="00804C27" w:rsidRPr="00804C27">
              <w:rPr>
                <w:color w:val="000000"/>
                <w:lang w:eastAsia="en-GB"/>
              </w:rPr>
              <w:t>7</w:t>
            </w:r>
            <w:r w:rsidR="004D3C03">
              <w:rPr>
                <w:color w:val="000000"/>
                <w:lang w:eastAsia="en-GB"/>
              </w:rPr>
              <w:t>15</w:t>
            </w:r>
            <w:r w:rsidR="00804C27">
              <w:rPr>
                <w:color w:val="000000"/>
                <w:lang w:eastAsia="en-GB"/>
              </w:rPr>
              <w:t> </w:t>
            </w:r>
            <w:r w:rsidR="004D3C03">
              <w:rPr>
                <w:color w:val="000000"/>
                <w:lang w:eastAsia="en-GB"/>
              </w:rPr>
              <w:t>683</w:t>
            </w:r>
            <w:r w:rsidR="00804C27">
              <w:rPr>
                <w:color w:val="000000"/>
                <w:lang w:eastAsia="en-GB"/>
              </w:rPr>
              <w:t xml:space="preserve"> </w:t>
            </w:r>
            <w:r w:rsidRPr="0094780E">
              <w:rPr>
                <w:color w:val="000000"/>
                <w:lang w:eastAsia="en-GB"/>
              </w:rPr>
              <w:t xml:space="preserve">EUR apmērā un VB </w:t>
            </w:r>
            <w:r w:rsidR="004D3C03">
              <w:rPr>
                <w:color w:val="000000"/>
                <w:lang w:eastAsia="en-GB"/>
              </w:rPr>
              <w:t>673</w:t>
            </w:r>
            <w:r w:rsidR="00804C27">
              <w:rPr>
                <w:color w:val="000000"/>
                <w:lang w:eastAsia="en-GB"/>
              </w:rPr>
              <w:t> </w:t>
            </w:r>
            <w:r w:rsidR="004D3C03">
              <w:rPr>
                <w:color w:val="000000"/>
                <w:lang w:eastAsia="en-GB"/>
              </w:rPr>
              <w:t>33</w:t>
            </w:r>
            <w:r w:rsidR="00804C27" w:rsidRPr="00804C27">
              <w:rPr>
                <w:color w:val="000000"/>
                <w:lang w:eastAsia="en-GB"/>
              </w:rPr>
              <w:t>5</w:t>
            </w:r>
            <w:r w:rsidRPr="0094780E">
              <w:rPr>
                <w:color w:val="000000"/>
                <w:lang w:eastAsia="en-GB"/>
              </w:rPr>
              <w:t xml:space="preserve">EUR apmērā (noteikumu projekta </w:t>
            </w:r>
            <w:r w:rsidR="00876070">
              <w:rPr>
                <w:color w:val="000000"/>
                <w:lang w:eastAsia="en-GB"/>
              </w:rPr>
              <w:t xml:space="preserve">10., </w:t>
            </w:r>
            <w:r w:rsidR="00135B09">
              <w:rPr>
                <w:color w:val="000000"/>
                <w:lang w:eastAsia="en-GB"/>
              </w:rPr>
              <w:t>11</w:t>
            </w:r>
            <w:r w:rsidR="004C4AF4">
              <w:rPr>
                <w:color w:val="000000"/>
                <w:lang w:eastAsia="en-GB"/>
              </w:rPr>
              <w:t xml:space="preserve">., </w:t>
            </w:r>
            <w:r w:rsidR="00135B09">
              <w:rPr>
                <w:color w:val="000000"/>
                <w:lang w:eastAsia="en-GB"/>
              </w:rPr>
              <w:t>12</w:t>
            </w:r>
            <w:r w:rsidR="004C4AF4">
              <w:rPr>
                <w:color w:val="000000"/>
                <w:lang w:eastAsia="en-GB"/>
              </w:rPr>
              <w:t>.</w:t>
            </w:r>
            <w:r w:rsidR="003C3663">
              <w:rPr>
                <w:color w:val="000000"/>
                <w:lang w:eastAsia="en-GB"/>
              </w:rPr>
              <w:t xml:space="preserve"> </w:t>
            </w:r>
            <w:r w:rsidRPr="0094780E">
              <w:rPr>
                <w:color w:val="000000"/>
                <w:lang w:eastAsia="en-GB"/>
              </w:rPr>
              <w:t xml:space="preserve">punkts, MK noteikumu </w:t>
            </w:r>
            <w:r w:rsidR="004C4AF4">
              <w:rPr>
                <w:color w:val="000000"/>
                <w:lang w:eastAsia="en-GB"/>
              </w:rPr>
              <w:t>12.</w:t>
            </w:r>
            <w:r w:rsidR="004C4AF4">
              <w:rPr>
                <w:color w:val="000000"/>
                <w:vertAlign w:val="superscript"/>
                <w:lang w:eastAsia="en-GB"/>
              </w:rPr>
              <w:t>2</w:t>
            </w:r>
            <w:r w:rsidRPr="0094780E">
              <w:rPr>
                <w:color w:val="000000"/>
                <w:lang w:eastAsia="en-GB"/>
              </w:rPr>
              <w:t xml:space="preserve"> punkts), ko veido:</w:t>
            </w:r>
          </w:p>
          <w:p w14:paraId="1968F202" w14:textId="77777777" w:rsidR="00396C58" w:rsidRDefault="003C14B6" w:rsidP="0081796F">
            <w:pPr>
              <w:spacing w:before="120" w:after="120"/>
              <w:ind w:left="102" w:right="102"/>
              <w:jc w:val="both"/>
              <w:rPr>
                <w:color w:val="000000"/>
                <w:lang w:eastAsia="en-GB"/>
              </w:rPr>
            </w:pPr>
            <w:r w:rsidRPr="003C14B6">
              <w:rPr>
                <w:b/>
                <w:color w:val="000000"/>
                <w:lang w:eastAsia="en-GB"/>
              </w:rPr>
              <w:t>1.3.1.</w:t>
            </w:r>
            <w:r>
              <w:rPr>
                <w:color w:val="000000"/>
                <w:lang w:eastAsia="en-GB"/>
              </w:rPr>
              <w:t>  </w:t>
            </w:r>
            <w:r w:rsidRPr="003C14B6">
              <w:rPr>
                <w:color w:val="000000"/>
                <w:lang w:eastAsia="en-GB"/>
              </w:rPr>
              <w:t xml:space="preserve">1.1.1.5. pasākuma "Atbalsts starptautiskās sadarbības projektiem pētniecībā un inovācijās" pirmās projektu iesniegumu kārtas snieguma rezerves finansējuma pārdale </w:t>
            </w:r>
            <w:r w:rsidR="00804C27" w:rsidRPr="003C14B6">
              <w:rPr>
                <w:color w:val="000000"/>
                <w:lang w:eastAsia="en-GB"/>
              </w:rPr>
              <w:t>101</w:t>
            </w:r>
            <w:r w:rsidR="00804C27">
              <w:rPr>
                <w:color w:val="000000"/>
                <w:lang w:eastAsia="en-GB"/>
              </w:rPr>
              <w:t> </w:t>
            </w:r>
            <w:r w:rsidRPr="003C14B6">
              <w:rPr>
                <w:color w:val="000000"/>
                <w:lang w:eastAsia="en-GB"/>
              </w:rPr>
              <w:t>006 EUR apmērā</w:t>
            </w:r>
            <w:r>
              <w:rPr>
                <w:color w:val="000000"/>
                <w:lang w:eastAsia="en-GB"/>
              </w:rPr>
              <w:t>;</w:t>
            </w:r>
          </w:p>
          <w:p w14:paraId="1968F203" w14:textId="77777777" w:rsidR="004D3C03" w:rsidRDefault="003C14B6" w:rsidP="0081796F">
            <w:pPr>
              <w:spacing w:before="120" w:after="120"/>
              <w:ind w:left="102" w:right="102"/>
              <w:jc w:val="both"/>
              <w:rPr>
                <w:color w:val="000000"/>
                <w:lang w:eastAsia="en-GB"/>
              </w:rPr>
            </w:pPr>
            <w:r>
              <w:rPr>
                <w:b/>
                <w:color w:val="000000"/>
                <w:lang w:eastAsia="en-GB"/>
              </w:rPr>
              <w:t>1.3.2. </w:t>
            </w:r>
            <w:proofErr w:type="spellStart"/>
            <w:r w:rsidRPr="003C14B6">
              <w:rPr>
                <w:color w:val="000000"/>
                <w:lang w:eastAsia="en-GB"/>
              </w:rPr>
              <w:t>virssaistību</w:t>
            </w:r>
            <w:proofErr w:type="spellEnd"/>
            <w:r w:rsidRPr="003C14B6">
              <w:rPr>
                <w:color w:val="000000"/>
                <w:lang w:eastAsia="en-GB"/>
              </w:rPr>
              <w:t xml:space="preserve"> finansējum</w:t>
            </w:r>
            <w:r w:rsidR="00457402">
              <w:rPr>
                <w:color w:val="000000"/>
                <w:lang w:eastAsia="en-GB"/>
              </w:rPr>
              <w:t>a</w:t>
            </w:r>
            <w:r w:rsidRPr="003C14B6">
              <w:rPr>
                <w:color w:val="000000"/>
                <w:lang w:eastAsia="en-GB"/>
              </w:rPr>
              <w:t xml:space="preserve"> </w:t>
            </w:r>
            <w:r w:rsidR="00457402">
              <w:rPr>
                <w:color w:val="000000"/>
                <w:lang w:eastAsia="en-GB"/>
              </w:rPr>
              <w:t xml:space="preserve">daļa </w:t>
            </w:r>
            <w:r w:rsidR="00677086" w:rsidRPr="00677086">
              <w:rPr>
                <w:color w:val="000000"/>
                <w:lang w:eastAsia="en-GB"/>
              </w:rPr>
              <w:t>1</w:t>
            </w:r>
            <w:r w:rsidR="00677086">
              <w:rPr>
                <w:color w:val="000000"/>
                <w:lang w:eastAsia="en-GB"/>
              </w:rPr>
              <w:t> </w:t>
            </w:r>
            <w:r w:rsidR="004D3C03">
              <w:rPr>
                <w:color w:val="000000"/>
                <w:lang w:eastAsia="en-GB"/>
              </w:rPr>
              <w:t>614</w:t>
            </w:r>
            <w:r w:rsidR="00677086">
              <w:rPr>
                <w:color w:val="000000"/>
                <w:lang w:eastAsia="en-GB"/>
              </w:rPr>
              <w:t> </w:t>
            </w:r>
            <w:r w:rsidR="004D3C03">
              <w:rPr>
                <w:color w:val="000000"/>
                <w:lang w:eastAsia="en-GB"/>
              </w:rPr>
              <w:t>090</w:t>
            </w:r>
            <w:r w:rsidRPr="003C14B6">
              <w:rPr>
                <w:color w:val="000000"/>
                <w:lang w:eastAsia="en-GB"/>
              </w:rPr>
              <w:t xml:space="preserve"> EUR apmērā, tai skaitā</w:t>
            </w:r>
            <w:r w:rsidRPr="0094780E">
              <w:rPr>
                <w:color w:val="000000"/>
                <w:lang w:eastAsia="en-GB"/>
              </w:rPr>
              <w:t xml:space="preserve"> ERAF </w:t>
            </w:r>
            <w:r w:rsidR="004D3C03" w:rsidRPr="004D3C03">
              <w:rPr>
                <w:color w:val="000000"/>
                <w:lang w:eastAsia="en-GB"/>
              </w:rPr>
              <w:t>963</w:t>
            </w:r>
            <w:r w:rsidR="004D3C03">
              <w:rPr>
                <w:color w:val="000000"/>
                <w:lang w:eastAsia="en-GB"/>
              </w:rPr>
              <w:t> </w:t>
            </w:r>
            <w:r w:rsidR="004D3C03" w:rsidRPr="004D3C03">
              <w:rPr>
                <w:color w:val="000000"/>
                <w:lang w:eastAsia="en-GB"/>
              </w:rPr>
              <w:t>055</w:t>
            </w:r>
            <w:r w:rsidRPr="0094780E">
              <w:rPr>
                <w:color w:val="000000"/>
                <w:lang w:eastAsia="en-GB"/>
              </w:rPr>
              <w:t xml:space="preserve"> EUR apmērā un VB </w:t>
            </w:r>
            <w:r w:rsidR="004D3C03" w:rsidRPr="004D3C03">
              <w:rPr>
                <w:color w:val="000000"/>
                <w:lang w:eastAsia="en-GB"/>
              </w:rPr>
              <w:t>651</w:t>
            </w:r>
            <w:r w:rsidR="004D3C03">
              <w:rPr>
                <w:color w:val="000000"/>
                <w:lang w:eastAsia="en-GB"/>
              </w:rPr>
              <w:t> </w:t>
            </w:r>
            <w:r w:rsidR="004D3C03" w:rsidRPr="004D3C03">
              <w:rPr>
                <w:color w:val="000000"/>
                <w:lang w:eastAsia="en-GB"/>
              </w:rPr>
              <w:t>035</w:t>
            </w:r>
            <w:r w:rsidR="00677086">
              <w:rPr>
                <w:color w:val="000000"/>
                <w:lang w:eastAsia="en-GB"/>
              </w:rPr>
              <w:t xml:space="preserve"> </w:t>
            </w:r>
            <w:r w:rsidRPr="0094780E">
              <w:rPr>
                <w:color w:val="000000"/>
                <w:lang w:eastAsia="en-GB"/>
              </w:rPr>
              <w:t>EUR apmērā</w:t>
            </w:r>
            <w:r>
              <w:rPr>
                <w:color w:val="000000"/>
                <w:lang w:eastAsia="en-GB"/>
              </w:rPr>
              <w:t>;</w:t>
            </w:r>
          </w:p>
          <w:p w14:paraId="1968F204" w14:textId="6D8EF34C" w:rsidR="003C14B6" w:rsidRDefault="003C14B6" w:rsidP="0081796F">
            <w:pPr>
              <w:spacing w:before="120" w:after="120"/>
              <w:ind w:left="102" w:right="102"/>
              <w:jc w:val="both"/>
              <w:rPr>
                <w:color w:val="000000"/>
                <w:lang w:eastAsia="en-GB"/>
              </w:rPr>
            </w:pPr>
            <w:r w:rsidRPr="009A624A">
              <w:rPr>
                <w:b/>
                <w:color w:val="000000"/>
                <w:lang w:eastAsia="en-GB"/>
              </w:rPr>
              <w:t>1.3.3</w:t>
            </w:r>
            <w:r>
              <w:rPr>
                <w:color w:val="000000"/>
                <w:lang w:eastAsia="en-GB"/>
              </w:rPr>
              <w:t xml:space="preserve">. publiskā finansējuma pārdale no 1.1.1.1. pasākuma </w:t>
            </w:r>
            <w:r w:rsidR="003A2026">
              <w:rPr>
                <w:color w:val="000000"/>
                <w:lang w:eastAsia="en-GB"/>
              </w:rPr>
              <w:t>pirmās un otrās</w:t>
            </w:r>
            <w:r>
              <w:rPr>
                <w:color w:val="000000"/>
                <w:lang w:eastAsia="en-GB"/>
              </w:rPr>
              <w:t xml:space="preserve"> projektu iesniegumu atlases kārtas </w:t>
            </w:r>
            <w:r w:rsidR="004D3C03" w:rsidRPr="004D3C03">
              <w:rPr>
                <w:color w:val="000000"/>
                <w:lang w:eastAsia="en-GB"/>
              </w:rPr>
              <w:t>673</w:t>
            </w:r>
            <w:r w:rsidR="004D3C03">
              <w:rPr>
                <w:color w:val="000000"/>
                <w:lang w:eastAsia="en-GB"/>
              </w:rPr>
              <w:t> </w:t>
            </w:r>
            <w:r w:rsidR="004D3C03" w:rsidRPr="004D3C03">
              <w:rPr>
                <w:color w:val="000000"/>
                <w:lang w:eastAsia="en-GB"/>
              </w:rPr>
              <w:t>922</w:t>
            </w:r>
            <w:r w:rsidR="004D3C03">
              <w:rPr>
                <w:color w:val="000000"/>
                <w:lang w:eastAsia="en-GB"/>
              </w:rPr>
              <w:t xml:space="preserve"> </w:t>
            </w:r>
            <w:r>
              <w:rPr>
                <w:color w:val="000000"/>
                <w:lang w:eastAsia="en-GB"/>
              </w:rPr>
              <w:t>EUR apmērā</w:t>
            </w:r>
            <w:r w:rsidR="003C3663">
              <w:rPr>
                <w:color w:val="000000"/>
                <w:lang w:eastAsia="en-GB"/>
              </w:rPr>
              <w:t>.</w:t>
            </w:r>
          </w:p>
          <w:p w14:paraId="1968F205" w14:textId="3091DD1A" w:rsidR="00E14C8C" w:rsidRDefault="003C14B6" w:rsidP="00E14C8C">
            <w:pPr>
              <w:spacing w:before="120" w:after="120"/>
              <w:ind w:left="102" w:right="102"/>
              <w:jc w:val="both"/>
              <w:rPr>
                <w:color w:val="000000"/>
                <w:lang w:eastAsia="en-GB"/>
              </w:rPr>
            </w:pPr>
            <w:r>
              <w:rPr>
                <w:b/>
                <w:color w:val="000000"/>
                <w:lang w:eastAsia="en-GB"/>
              </w:rPr>
              <w:t>4</w:t>
            </w:r>
            <w:r w:rsidRPr="0094780E">
              <w:rPr>
                <w:b/>
                <w:color w:val="000000"/>
                <w:lang w:eastAsia="en-GB"/>
              </w:rPr>
              <w:t>. </w:t>
            </w:r>
            <w:r w:rsidR="005C7103">
              <w:rPr>
                <w:color w:val="000000"/>
                <w:lang w:eastAsia="en-GB"/>
              </w:rPr>
              <w:t>Palielināts</w:t>
            </w:r>
            <w:r w:rsidR="004D3C03" w:rsidRPr="0094780E">
              <w:rPr>
                <w:color w:val="000000"/>
                <w:lang w:eastAsia="en-GB"/>
              </w:rPr>
              <w:t xml:space="preserve"> </w:t>
            </w:r>
            <w:r w:rsidRPr="0094780E">
              <w:rPr>
                <w:color w:val="000000"/>
                <w:lang w:eastAsia="en-GB"/>
              </w:rPr>
              <w:t>1.1.1.1. pasākuma</w:t>
            </w:r>
            <w:r>
              <w:rPr>
                <w:b/>
                <w:color w:val="000000"/>
                <w:lang w:eastAsia="en-GB"/>
              </w:rPr>
              <w:t xml:space="preserve"> </w:t>
            </w:r>
            <w:r w:rsidR="00457402">
              <w:rPr>
                <w:color w:val="000000"/>
                <w:lang w:eastAsia="en-GB"/>
              </w:rPr>
              <w:t>ceturtajai</w:t>
            </w:r>
            <w:r>
              <w:rPr>
                <w:b/>
                <w:color w:val="000000"/>
                <w:lang w:eastAsia="en-GB"/>
              </w:rPr>
              <w:t xml:space="preserve"> </w:t>
            </w:r>
            <w:r w:rsidRPr="0081796F">
              <w:rPr>
                <w:color w:val="000000"/>
                <w:lang w:eastAsia="en-GB"/>
              </w:rPr>
              <w:t xml:space="preserve">projektu iesniegumu atlases kārtai </w:t>
            </w:r>
            <w:r>
              <w:rPr>
                <w:color w:val="000000"/>
                <w:lang w:eastAsia="en-GB"/>
              </w:rPr>
              <w:t xml:space="preserve">pieejamais publiskais finansējums </w:t>
            </w:r>
            <w:r w:rsidR="00E14C8C">
              <w:rPr>
                <w:color w:val="000000"/>
                <w:lang w:eastAsia="en-GB"/>
              </w:rPr>
              <w:t xml:space="preserve">par </w:t>
            </w:r>
            <w:r w:rsidR="006101C2">
              <w:rPr>
                <w:color w:val="000000"/>
                <w:lang w:eastAsia="en-GB"/>
              </w:rPr>
              <w:t>5 </w:t>
            </w:r>
            <w:r w:rsidR="006101C2" w:rsidRPr="006101C2">
              <w:rPr>
                <w:color w:val="000000"/>
                <w:lang w:eastAsia="en-GB"/>
              </w:rPr>
              <w:t>739</w:t>
            </w:r>
            <w:r w:rsidR="006101C2">
              <w:rPr>
                <w:color w:val="000000"/>
                <w:lang w:eastAsia="en-GB"/>
              </w:rPr>
              <w:t> </w:t>
            </w:r>
            <w:r w:rsidR="006101C2" w:rsidRPr="006101C2">
              <w:rPr>
                <w:color w:val="000000"/>
                <w:lang w:eastAsia="en-GB"/>
              </w:rPr>
              <w:t>393</w:t>
            </w:r>
            <w:r w:rsidR="006101C2">
              <w:rPr>
                <w:color w:val="000000"/>
                <w:lang w:eastAsia="en-GB"/>
              </w:rPr>
              <w:t xml:space="preserve"> </w:t>
            </w:r>
            <w:r w:rsidR="00E14C8C">
              <w:rPr>
                <w:color w:val="000000"/>
                <w:lang w:eastAsia="en-GB"/>
              </w:rPr>
              <w:t xml:space="preserve">EUR, </w:t>
            </w:r>
            <w:r w:rsidR="00E14C8C" w:rsidRPr="0094780E">
              <w:rPr>
                <w:color w:val="000000"/>
                <w:lang w:eastAsia="en-GB"/>
              </w:rPr>
              <w:t xml:space="preserve">tai skaitā ERAF </w:t>
            </w:r>
            <w:r w:rsidR="00CE19BC">
              <w:rPr>
                <w:color w:val="000000"/>
                <w:lang w:eastAsia="en-GB"/>
              </w:rPr>
              <w:t>5 157 </w:t>
            </w:r>
            <w:r w:rsidR="009A624A" w:rsidRPr="009A624A">
              <w:rPr>
                <w:color w:val="000000"/>
                <w:lang w:eastAsia="en-GB"/>
              </w:rPr>
              <w:t>682</w:t>
            </w:r>
            <w:r w:rsidR="006101C2">
              <w:rPr>
                <w:color w:val="000000"/>
                <w:lang w:eastAsia="en-GB"/>
              </w:rPr>
              <w:t xml:space="preserve"> </w:t>
            </w:r>
            <w:r w:rsidR="00E14C8C" w:rsidRPr="0094780E">
              <w:rPr>
                <w:color w:val="000000"/>
                <w:lang w:eastAsia="en-GB"/>
              </w:rPr>
              <w:t xml:space="preserve">EUR apmērā un VB </w:t>
            </w:r>
            <w:r w:rsidR="009A624A" w:rsidRPr="009A624A">
              <w:rPr>
                <w:color w:val="000000"/>
                <w:lang w:eastAsia="en-GB"/>
              </w:rPr>
              <w:t>581</w:t>
            </w:r>
            <w:r w:rsidR="00CE19BC">
              <w:rPr>
                <w:color w:val="000000"/>
                <w:lang w:eastAsia="en-GB"/>
              </w:rPr>
              <w:t> </w:t>
            </w:r>
            <w:r w:rsidR="009A624A" w:rsidRPr="009A624A">
              <w:rPr>
                <w:color w:val="000000"/>
                <w:lang w:eastAsia="en-GB"/>
              </w:rPr>
              <w:t>711</w:t>
            </w:r>
            <w:r w:rsidR="00CE19BC">
              <w:rPr>
                <w:color w:val="000000"/>
                <w:lang w:eastAsia="en-GB"/>
              </w:rPr>
              <w:t xml:space="preserve"> </w:t>
            </w:r>
            <w:r w:rsidR="00E14C8C" w:rsidRPr="0094780E">
              <w:rPr>
                <w:color w:val="000000"/>
                <w:lang w:eastAsia="en-GB"/>
              </w:rPr>
              <w:t xml:space="preserve">EUR apmērā </w:t>
            </w:r>
            <w:r w:rsidRPr="0094780E">
              <w:rPr>
                <w:color w:val="000000"/>
                <w:lang w:eastAsia="en-GB"/>
              </w:rPr>
              <w:t xml:space="preserve">(noteikumu projekta </w:t>
            </w:r>
            <w:r w:rsidR="003A2026">
              <w:rPr>
                <w:color w:val="000000"/>
                <w:lang w:eastAsia="en-GB"/>
              </w:rPr>
              <w:t xml:space="preserve">13., </w:t>
            </w:r>
            <w:r w:rsidR="00135B09">
              <w:rPr>
                <w:color w:val="000000"/>
                <w:lang w:eastAsia="en-GB"/>
              </w:rPr>
              <w:t>14</w:t>
            </w:r>
            <w:r>
              <w:rPr>
                <w:color w:val="000000"/>
                <w:lang w:eastAsia="en-GB"/>
              </w:rPr>
              <w:t xml:space="preserve">., </w:t>
            </w:r>
            <w:r w:rsidR="00135B09">
              <w:rPr>
                <w:color w:val="000000"/>
                <w:lang w:eastAsia="en-GB"/>
              </w:rPr>
              <w:t>15</w:t>
            </w:r>
            <w:r>
              <w:rPr>
                <w:color w:val="000000"/>
                <w:lang w:eastAsia="en-GB"/>
              </w:rPr>
              <w:t>.</w:t>
            </w:r>
            <w:r w:rsidR="003C3663">
              <w:rPr>
                <w:color w:val="000000"/>
                <w:lang w:eastAsia="en-GB"/>
              </w:rPr>
              <w:t xml:space="preserve"> </w:t>
            </w:r>
            <w:r w:rsidRPr="0094780E">
              <w:rPr>
                <w:color w:val="000000"/>
                <w:lang w:eastAsia="en-GB"/>
              </w:rPr>
              <w:t xml:space="preserve">punkts, MK noteikumu </w:t>
            </w:r>
            <w:r>
              <w:rPr>
                <w:color w:val="000000"/>
                <w:lang w:eastAsia="en-GB"/>
              </w:rPr>
              <w:t>12.</w:t>
            </w:r>
            <w:r w:rsidR="00457402">
              <w:rPr>
                <w:color w:val="000000"/>
                <w:vertAlign w:val="superscript"/>
                <w:lang w:eastAsia="en-GB"/>
              </w:rPr>
              <w:t>3</w:t>
            </w:r>
            <w:r w:rsidRPr="0094780E">
              <w:rPr>
                <w:color w:val="000000"/>
                <w:lang w:eastAsia="en-GB"/>
              </w:rPr>
              <w:t xml:space="preserve"> punkts</w:t>
            </w:r>
            <w:r w:rsidR="00E14C8C">
              <w:rPr>
                <w:color w:val="000000"/>
                <w:lang w:eastAsia="en-GB"/>
              </w:rPr>
              <w:t xml:space="preserve">), ko </w:t>
            </w:r>
            <w:r w:rsidR="00E14C8C" w:rsidRPr="00E14C8C">
              <w:rPr>
                <w:color w:val="000000"/>
                <w:lang w:eastAsia="en-GB"/>
              </w:rPr>
              <w:t>veido:</w:t>
            </w:r>
          </w:p>
          <w:p w14:paraId="1968F206" w14:textId="77777777" w:rsidR="00E14C8C" w:rsidRPr="00E14C8C" w:rsidRDefault="00E14C8C" w:rsidP="00CF2F20">
            <w:pPr>
              <w:spacing w:before="120" w:after="120"/>
              <w:ind w:left="102" w:right="102"/>
              <w:jc w:val="both"/>
              <w:rPr>
                <w:color w:val="000000"/>
                <w:lang w:eastAsia="en-GB"/>
              </w:rPr>
            </w:pPr>
            <w:r w:rsidRPr="00B2632A">
              <w:rPr>
                <w:b/>
                <w:color w:val="000000"/>
                <w:lang w:eastAsia="en-GB"/>
              </w:rPr>
              <w:t>4.1.</w:t>
            </w:r>
            <w:r w:rsidRPr="00E14C8C">
              <w:rPr>
                <w:color w:val="000000"/>
                <w:lang w:eastAsia="en-GB"/>
              </w:rPr>
              <w:t xml:space="preserve"> publiskā finansējuma pārdale no 1.1.1.3. pasākuma "Ino</w:t>
            </w:r>
            <w:r w:rsidR="009A52DB">
              <w:rPr>
                <w:color w:val="000000"/>
                <w:lang w:eastAsia="en-GB"/>
              </w:rPr>
              <w:t>vāciju granti studentiem" 1 062 </w:t>
            </w:r>
            <w:r w:rsidRPr="00E14C8C">
              <w:rPr>
                <w:color w:val="000000"/>
                <w:lang w:eastAsia="en-GB"/>
              </w:rPr>
              <w:t>000 EUR apmērā, ko veido ERAF finansējums 1</w:t>
            </w:r>
            <w:r w:rsidR="009A52DB">
              <w:rPr>
                <w:color w:val="000000"/>
                <w:lang w:eastAsia="en-GB"/>
              </w:rPr>
              <w:t> </w:t>
            </w:r>
            <w:r w:rsidRPr="00E14C8C">
              <w:rPr>
                <w:color w:val="000000"/>
                <w:lang w:eastAsia="en-GB"/>
              </w:rPr>
              <w:t>062</w:t>
            </w:r>
            <w:r w:rsidR="009A52DB">
              <w:rPr>
                <w:color w:val="000000"/>
                <w:lang w:eastAsia="en-GB"/>
              </w:rPr>
              <w:t> </w:t>
            </w:r>
            <w:r w:rsidRPr="00E14C8C">
              <w:rPr>
                <w:color w:val="000000"/>
                <w:lang w:eastAsia="en-GB"/>
              </w:rPr>
              <w:t>000 EUR</w:t>
            </w:r>
            <w:r w:rsidR="00CF2F20">
              <w:rPr>
                <w:color w:val="000000"/>
                <w:lang w:eastAsia="en-GB"/>
              </w:rPr>
              <w:t xml:space="preserve">. Pārdali pamato </w:t>
            </w:r>
            <w:r w:rsidR="00CF2F20" w:rsidRPr="00CF2F20">
              <w:rPr>
                <w:color w:val="000000"/>
                <w:lang w:eastAsia="en-GB"/>
              </w:rPr>
              <w:t>Ministru kabineta 2020. gada 17. novembr</w:t>
            </w:r>
            <w:r w:rsidR="00CF2F20">
              <w:rPr>
                <w:color w:val="000000"/>
                <w:lang w:eastAsia="en-GB"/>
              </w:rPr>
              <w:t xml:space="preserve">a </w:t>
            </w:r>
            <w:r w:rsidR="00CF2F20" w:rsidRPr="00CF2F20">
              <w:rPr>
                <w:color w:val="000000"/>
                <w:lang w:eastAsia="en-GB"/>
              </w:rPr>
              <w:t>noteikumi Nr. 684</w:t>
            </w:r>
            <w:r w:rsidR="00CF2F20">
              <w:rPr>
                <w:color w:val="000000"/>
                <w:lang w:eastAsia="en-GB"/>
              </w:rPr>
              <w:t xml:space="preserve"> </w:t>
            </w:r>
            <w:r w:rsidR="00CF2F20" w:rsidRPr="00CF2F20">
              <w:rPr>
                <w:color w:val="000000"/>
                <w:lang w:eastAsia="en-GB"/>
              </w:rPr>
              <w:t xml:space="preserve">"Grozījumi Ministru kabineta 2018. gada 16. janvāra noteikumos Nr. 41 "Darbības programmas "Izaugsme un nodarbinātība" 1.1.1. specifiskā atbalsta mērķa "Palielināt Latvijas zinātnisko institūciju pētniecisko un inovatīvo kapacitāti un spēju piesaistīt ārējo finansējumu, ieguldot </w:t>
            </w:r>
            <w:r w:rsidR="00CF2F20" w:rsidRPr="00CF2F20">
              <w:rPr>
                <w:color w:val="000000"/>
                <w:lang w:eastAsia="en-GB"/>
              </w:rPr>
              <w:lastRenderedPageBreak/>
              <w:t>cilvēkresursos un infrastruktūrā" 1.1.1.3. pasākuma "Inovāciju granti studentiem" īstenošanas noteikumi""</w:t>
            </w:r>
            <w:r w:rsidRPr="00E14C8C">
              <w:rPr>
                <w:color w:val="000000"/>
                <w:lang w:eastAsia="en-GB"/>
              </w:rPr>
              <w:t>;</w:t>
            </w:r>
          </w:p>
          <w:p w14:paraId="1968F207" w14:textId="77777777" w:rsidR="009A52DB" w:rsidRDefault="00E14C8C" w:rsidP="00E14C8C">
            <w:pPr>
              <w:spacing w:before="120" w:after="120"/>
              <w:ind w:left="102" w:right="102"/>
              <w:jc w:val="both"/>
              <w:rPr>
                <w:color w:val="000000"/>
                <w:lang w:eastAsia="en-GB"/>
              </w:rPr>
            </w:pPr>
            <w:r w:rsidRPr="00B2632A">
              <w:rPr>
                <w:b/>
                <w:color w:val="000000"/>
                <w:lang w:eastAsia="en-GB"/>
              </w:rPr>
              <w:t>4.2.</w:t>
            </w:r>
            <w:r w:rsidRPr="00E14C8C">
              <w:rPr>
                <w:color w:val="000000"/>
                <w:lang w:eastAsia="en-GB"/>
              </w:rPr>
              <w:t xml:space="preserve"> pārdale no 1.1.1.4. pasākuma "P&amp;A infrastruktūras attīstīšana viedās specializācijas jomās un zinātnisko institūciju institucionālās kapacitātes stiprināšana" 7</w:t>
            </w:r>
            <w:r w:rsidR="006101C2">
              <w:rPr>
                <w:color w:val="000000"/>
                <w:lang w:eastAsia="en-GB"/>
              </w:rPr>
              <w:t> </w:t>
            </w:r>
            <w:r w:rsidRPr="00E14C8C">
              <w:rPr>
                <w:color w:val="000000"/>
                <w:lang w:eastAsia="en-GB"/>
              </w:rPr>
              <w:t>733 EUR, ko veido ERAF 6</w:t>
            </w:r>
            <w:r w:rsidR="006101C2">
              <w:rPr>
                <w:color w:val="000000"/>
                <w:lang w:eastAsia="en-GB"/>
              </w:rPr>
              <w:t> </w:t>
            </w:r>
            <w:r w:rsidRPr="00E14C8C">
              <w:rPr>
                <w:color w:val="000000"/>
                <w:lang w:eastAsia="en-GB"/>
              </w:rPr>
              <w:t>573 EUR apmērā un VB 1</w:t>
            </w:r>
            <w:r w:rsidR="006101C2">
              <w:rPr>
                <w:color w:val="000000"/>
                <w:lang w:eastAsia="en-GB"/>
              </w:rPr>
              <w:t> </w:t>
            </w:r>
            <w:r w:rsidRPr="00E14C8C">
              <w:rPr>
                <w:color w:val="000000"/>
                <w:lang w:eastAsia="en-GB"/>
              </w:rPr>
              <w:t>160 EUR apmērā (neatbilstoši veikto izmaksu pārdale). Pārdali pamato 2020. gada 3. novembra noteikumi Nr. 658 "Grozījumi Ministru kabineta 2016. gada 16. augusta noteikumos Nr. 562 "Darbības programmas "Izaugsme un nodarbinātība" 1.1.1. specifiskā atbalsta mērķa "Palielināt Latvijas zinātnisko institūciju pētniecisko un inovatīvo kapacitāti un spēju piesaistīt ārējo finansējumu, ieguldot cilvēkresursos un infrastruktūrā" 1.1.1.4. pasākuma "P&amp;A infrastruktūras attīstīšana viedās specializācijas jomās un zinātnisko institūciju institucionālās kapacitātes stiprināšana" īstenošanas noteikumi"";</w:t>
            </w:r>
          </w:p>
          <w:p w14:paraId="54FFD473" w14:textId="5F0691D1" w:rsidR="00CE19BC" w:rsidRDefault="009A52DB" w:rsidP="00CE19BC">
            <w:pPr>
              <w:spacing w:before="120" w:after="120"/>
              <w:ind w:left="102" w:right="102"/>
              <w:jc w:val="both"/>
              <w:rPr>
                <w:color w:val="000000"/>
                <w:lang w:eastAsia="en-GB"/>
              </w:rPr>
            </w:pPr>
            <w:r w:rsidRPr="00B2632A">
              <w:rPr>
                <w:b/>
                <w:color w:val="000000"/>
                <w:lang w:eastAsia="en-GB"/>
              </w:rPr>
              <w:t>4.3</w:t>
            </w:r>
            <w:r>
              <w:rPr>
                <w:color w:val="000000"/>
                <w:lang w:eastAsia="en-GB"/>
              </w:rPr>
              <w:t>. </w:t>
            </w:r>
            <w:r w:rsidRPr="009A52DB">
              <w:rPr>
                <w:color w:val="000000"/>
                <w:lang w:eastAsia="en-GB"/>
              </w:rPr>
              <w:t xml:space="preserve"> </w:t>
            </w:r>
            <w:proofErr w:type="spellStart"/>
            <w:r w:rsidRPr="009A52DB">
              <w:rPr>
                <w:color w:val="000000"/>
                <w:lang w:eastAsia="en-GB"/>
              </w:rPr>
              <w:t>virssaistību</w:t>
            </w:r>
            <w:proofErr w:type="spellEnd"/>
            <w:r w:rsidRPr="009A52DB">
              <w:rPr>
                <w:color w:val="000000"/>
                <w:lang w:eastAsia="en-GB"/>
              </w:rPr>
              <w:t xml:space="preserve"> finansējuma daļa 4</w:t>
            </w:r>
            <w:r>
              <w:rPr>
                <w:color w:val="000000"/>
                <w:lang w:eastAsia="en-GB"/>
              </w:rPr>
              <w:t> 385 </w:t>
            </w:r>
            <w:r w:rsidRPr="009A52DB">
              <w:rPr>
                <w:color w:val="000000"/>
                <w:lang w:eastAsia="en-GB"/>
              </w:rPr>
              <w:t xml:space="preserve">910 EUR apmērā, tai skaitā ERAF </w:t>
            </w:r>
            <w:r w:rsidR="00CE19BC">
              <w:rPr>
                <w:color w:val="000000"/>
                <w:lang w:eastAsia="en-GB"/>
              </w:rPr>
              <w:t>3 </w:t>
            </w:r>
            <w:r w:rsidR="00CE19BC" w:rsidRPr="00CE19BC">
              <w:rPr>
                <w:color w:val="000000"/>
                <w:lang w:eastAsia="en-GB"/>
              </w:rPr>
              <w:t>824</w:t>
            </w:r>
            <w:r w:rsidR="00CE19BC">
              <w:rPr>
                <w:color w:val="000000"/>
                <w:lang w:eastAsia="en-GB"/>
              </w:rPr>
              <w:t> </w:t>
            </w:r>
            <w:r w:rsidR="00CE19BC" w:rsidRPr="00CE19BC">
              <w:rPr>
                <w:color w:val="000000"/>
                <w:lang w:eastAsia="en-GB"/>
              </w:rPr>
              <w:t>222</w:t>
            </w:r>
            <w:r w:rsidR="00CE19BC">
              <w:rPr>
                <w:color w:val="000000"/>
                <w:lang w:eastAsia="en-GB"/>
              </w:rPr>
              <w:t xml:space="preserve"> </w:t>
            </w:r>
            <w:r w:rsidRPr="009A52DB">
              <w:rPr>
                <w:color w:val="000000"/>
                <w:lang w:eastAsia="en-GB"/>
              </w:rPr>
              <w:t xml:space="preserve">EUR apmērā un VB </w:t>
            </w:r>
            <w:r w:rsidR="00CE19BC" w:rsidRPr="00CE19BC">
              <w:rPr>
                <w:color w:val="000000"/>
                <w:lang w:eastAsia="en-GB"/>
              </w:rPr>
              <w:t>561</w:t>
            </w:r>
            <w:r w:rsidR="00CE19BC">
              <w:rPr>
                <w:color w:val="000000"/>
                <w:lang w:eastAsia="en-GB"/>
              </w:rPr>
              <w:t> </w:t>
            </w:r>
            <w:r w:rsidR="00CE19BC" w:rsidRPr="00CE19BC">
              <w:rPr>
                <w:color w:val="000000"/>
                <w:lang w:eastAsia="en-GB"/>
              </w:rPr>
              <w:t>688</w:t>
            </w:r>
            <w:r>
              <w:rPr>
                <w:color w:val="000000"/>
                <w:lang w:eastAsia="en-GB"/>
              </w:rPr>
              <w:t xml:space="preserve"> </w:t>
            </w:r>
            <w:r w:rsidRPr="009A52DB">
              <w:rPr>
                <w:color w:val="000000"/>
                <w:lang w:eastAsia="en-GB"/>
              </w:rPr>
              <w:t>EUR apmērā;</w:t>
            </w:r>
            <w:r w:rsidR="00CE19BC">
              <w:rPr>
                <w:color w:val="000000"/>
                <w:lang w:eastAsia="en-GB"/>
              </w:rPr>
              <w:t xml:space="preserve"> </w:t>
            </w:r>
          </w:p>
          <w:p w14:paraId="1968F209" w14:textId="47D9D5EF" w:rsidR="003C3663" w:rsidRDefault="009A52DB" w:rsidP="00E14C8C">
            <w:pPr>
              <w:spacing w:before="120" w:after="120"/>
              <w:ind w:left="102" w:right="102"/>
              <w:jc w:val="both"/>
              <w:rPr>
                <w:color w:val="000000"/>
                <w:lang w:eastAsia="en-GB"/>
              </w:rPr>
            </w:pPr>
            <w:r w:rsidRPr="00B2632A">
              <w:rPr>
                <w:b/>
                <w:color w:val="000000"/>
                <w:lang w:eastAsia="en-GB"/>
              </w:rPr>
              <w:t>4.4.</w:t>
            </w:r>
            <w:r>
              <w:rPr>
                <w:color w:val="000000"/>
                <w:lang w:eastAsia="en-GB"/>
              </w:rPr>
              <w:t> </w:t>
            </w:r>
            <w:r w:rsidRPr="009A52DB">
              <w:rPr>
                <w:color w:val="000000"/>
                <w:lang w:eastAsia="en-GB"/>
              </w:rPr>
              <w:t xml:space="preserve">publiskā finansējuma pārdale no 1.1.1.1. pasākuma </w:t>
            </w:r>
            <w:r w:rsidR="00C82605">
              <w:rPr>
                <w:color w:val="000000"/>
                <w:lang w:eastAsia="en-GB"/>
              </w:rPr>
              <w:t>pirmās</w:t>
            </w:r>
            <w:r w:rsidRPr="009A52DB">
              <w:rPr>
                <w:color w:val="000000"/>
                <w:lang w:eastAsia="en-GB"/>
              </w:rPr>
              <w:t xml:space="preserve"> un </w:t>
            </w:r>
            <w:r w:rsidR="00C82605">
              <w:rPr>
                <w:color w:val="000000"/>
                <w:lang w:eastAsia="en-GB"/>
              </w:rPr>
              <w:t>otrās</w:t>
            </w:r>
            <w:r>
              <w:rPr>
                <w:color w:val="000000"/>
                <w:lang w:eastAsia="en-GB"/>
              </w:rPr>
              <w:t xml:space="preserve"> </w:t>
            </w:r>
            <w:r w:rsidRPr="009A52DB">
              <w:rPr>
                <w:color w:val="000000"/>
                <w:lang w:eastAsia="en-GB"/>
              </w:rPr>
              <w:t>projektu iesniegumu atlases kārtas</w:t>
            </w:r>
            <w:r>
              <w:rPr>
                <w:color w:val="000000"/>
                <w:lang w:eastAsia="en-GB"/>
              </w:rPr>
              <w:t xml:space="preserve">  </w:t>
            </w:r>
            <w:r w:rsidRPr="009A52DB">
              <w:rPr>
                <w:color w:val="000000"/>
                <w:lang w:eastAsia="en-GB"/>
              </w:rPr>
              <w:t>283</w:t>
            </w:r>
            <w:r>
              <w:rPr>
                <w:color w:val="000000"/>
                <w:lang w:eastAsia="en-GB"/>
              </w:rPr>
              <w:t> </w:t>
            </w:r>
            <w:r w:rsidRPr="009A52DB">
              <w:rPr>
                <w:color w:val="000000"/>
                <w:lang w:eastAsia="en-GB"/>
              </w:rPr>
              <w:t>750</w:t>
            </w:r>
            <w:r>
              <w:rPr>
                <w:color w:val="000000"/>
                <w:lang w:eastAsia="en-GB"/>
              </w:rPr>
              <w:t xml:space="preserve"> EUR apmērā, ko veido ERAF </w:t>
            </w:r>
            <w:r w:rsidRPr="009A52DB">
              <w:rPr>
                <w:color w:val="000000"/>
                <w:lang w:eastAsia="en-GB"/>
              </w:rPr>
              <w:t>264</w:t>
            </w:r>
            <w:r>
              <w:rPr>
                <w:color w:val="000000"/>
                <w:lang w:eastAsia="en-GB"/>
              </w:rPr>
              <w:t> </w:t>
            </w:r>
            <w:r w:rsidRPr="009A52DB">
              <w:rPr>
                <w:color w:val="000000"/>
                <w:lang w:eastAsia="en-GB"/>
              </w:rPr>
              <w:t>887</w:t>
            </w:r>
            <w:r>
              <w:rPr>
                <w:color w:val="000000"/>
                <w:lang w:eastAsia="en-GB"/>
              </w:rPr>
              <w:t xml:space="preserve"> EUR apmērā un VB </w:t>
            </w:r>
            <w:r w:rsidRPr="009A52DB">
              <w:rPr>
                <w:color w:val="000000"/>
                <w:lang w:eastAsia="en-GB"/>
              </w:rPr>
              <w:t>18</w:t>
            </w:r>
            <w:r>
              <w:rPr>
                <w:color w:val="000000"/>
                <w:lang w:eastAsia="en-GB"/>
              </w:rPr>
              <w:t> </w:t>
            </w:r>
            <w:r w:rsidRPr="009A52DB">
              <w:rPr>
                <w:color w:val="000000"/>
                <w:lang w:eastAsia="en-GB"/>
              </w:rPr>
              <w:t>863</w:t>
            </w:r>
            <w:r>
              <w:rPr>
                <w:color w:val="000000"/>
                <w:lang w:eastAsia="en-GB"/>
              </w:rPr>
              <w:t xml:space="preserve"> EUR apmērā.</w:t>
            </w:r>
          </w:p>
          <w:p w14:paraId="1968F20A" w14:textId="77777777" w:rsidR="005C7103" w:rsidRDefault="005C7103" w:rsidP="004D3C03">
            <w:pPr>
              <w:spacing w:before="120" w:after="120"/>
              <w:ind w:left="102" w:right="102"/>
              <w:jc w:val="both"/>
              <w:rPr>
                <w:color w:val="000000"/>
                <w:lang w:eastAsia="en-GB"/>
              </w:rPr>
            </w:pPr>
            <w:r w:rsidRPr="00BB2306">
              <w:rPr>
                <w:color w:val="000000"/>
                <w:lang w:eastAsia="en-GB"/>
              </w:rPr>
              <w:t xml:space="preserve">Papildu publisko finansējumu </w:t>
            </w:r>
            <w:r>
              <w:rPr>
                <w:color w:val="000000"/>
                <w:lang w:eastAsia="en-GB"/>
              </w:rPr>
              <w:t xml:space="preserve">konkursa kārtībā </w:t>
            </w:r>
            <w:r w:rsidRPr="00BB2306">
              <w:rPr>
                <w:color w:val="000000"/>
                <w:lang w:eastAsia="en-GB"/>
              </w:rPr>
              <w:t xml:space="preserve">plānots </w:t>
            </w:r>
            <w:r>
              <w:rPr>
                <w:color w:val="000000"/>
                <w:lang w:eastAsia="en-GB"/>
              </w:rPr>
              <w:t>piešķir</w:t>
            </w:r>
            <w:r w:rsidR="00EE62DD">
              <w:rPr>
                <w:color w:val="000000"/>
                <w:lang w:eastAsia="en-GB"/>
              </w:rPr>
              <w:t>t</w:t>
            </w:r>
            <w:r>
              <w:rPr>
                <w:color w:val="000000"/>
                <w:lang w:eastAsia="en-GB"/>
              </w:rPr>
              <w:t xml:space="preserve"> tādu projektu īstenošanai, kuru īstenošanas rezultātā tiks sekmēta </w:t>
            </w:r>
            <w:r w:rsidRPr="005C7103">
              <w:rPr>
                <w:color w:val="000000"/>
                <w:lang w:eastAsia="en-GB"/>
              </w:rPr>
              <w:t xml:space="preserve">strukturālu pārmaiņu ieviešana ekonomikā un sabiedrības vajadzību nodrošināšana Covid-19 krīzes izraisīto seku mazināšanai, sniedzot ieguldījumu </w:t>
            </w:r>
            <w:r w:rsidR="00BB4194">
              <w:rPr>
                <w:color w:val="000000"/>
                <w:lang w:eastAsia="en-GB"/>
              </w:rPr>
              <w:t xml:space="preserve">tādu </w:t>
            </w:r>
            <w:r w:rsidR="001C46D2">
              <w:rPr>
                <w:color w:val="000000"/>
                <w:lang w:eastAsia="en-GB"/>
              </w:rPr>
              <w:t xml:space="preserve">jaunu produktu </w:t>
            </w:r>
            <w:r w:rsidR="009A52DB">
              <w:rPr>
                <w:color w:val="000000"/>
                <w:lang w:eastAsia="en-GB"/>
              </w:rPr>
              <w:t>vai</w:t>
            </w:r>
            <w:r w:rsidR="001C46D2">
              <w:rPr>
                <w:color w:val="000000"/>
                <w:lang w:eastAsia="en-GB"/>
              </w:rPr>
              <w:t xml:space="preserve"> tehnoloģiju izstrādē</w:t>
            </w:r>
            <w:r w:rsidR="00BB4194">
              <w:rPr>
                <w:color w:val="000000"/>
                <w:lang w:eastAsia="en-GB"/>
              </w:rPr>
              <w:t>, kurus plānots ieviest ražošanā vai pakalpojumu sniegšanā</w:t>
            </w:r>
            <w:r w:rsidR="001C46D2">
              <w:rPr>
                <w:color w:val="000000"/>
                <w:lang w:eastAsia="en-GB"/>
              </w:rPr>
              <w:t xml:space="preserve"> šād</w:t>
            </w:r>
            <w:r w:rsidR="00E14C8C">
              <w:rPr>
                <w:color w:val="000000"/>
                <w:lang w:eastAsia="en-GB"/>
              </w:rPr>
              <w:t>ā</w:t>
            </w:r>
            <w:r w:rsidR="001C46D2">
              <w:rPr>
                <w:color w:val="000000"/>
                <w:lang w:eastAsia="en-GB"/>
              </w:rPr>
              <w:t xml:space="preserve">s </w:t>
            </w:r>
            <w:r w:rsidR="00E14C8C">
              <w:rPr>
                <w:color w:val="000000"/>
                <w:lang w:eastAsia="en-GB"/>
              </w:rPr>
              <w:t>jomās</w:t>
            </w:r>
            <w:r w:rsidR="00EE62DD">
              <w:rPr>
                <w:color w:val="000000"/>
                <w:lang w:eastAsia="en-GB"/>
              </w:rPr>
              <w:t>:</w:t>
            </w:r>
          </w:p>
          <w:p w14:paraId="1968F20B" w14:textId="77777777" w:rsidR="00EE62DD" w:rsidRDefault="00EE62DD" w:rsidP="00EE62DD">
            <w:pPr>
              <w:spacing w:before="120" w:after="120"/>
              <w:ind w:left="102" w:right="102"/>
              <w:jc w:val="both"/>
              <w:rPr>
                <w:color w:val="000000"/>
                <w:lang w:eastAsia="en-GB"/>
              </w:rPr>
            </w:pPr>
            <w:r w:rsidRPr="00BB2306">
              <w:rPr>
                <w:color w:val="000000"/>
                <w:lang w:eastAsia="en-GB"/>
              </w:rPr>
              <w:t xml:space="preserve">– </w:t>
            </w:r>
            <w:r w:rsidRPr="00EE62DD">
              <w:rPr>
                <w:color w:val="000000"/>
                <w:lang w:eastAsia="en-GB"/>
              </w:rPr>
              <w:t>veselības aprūpe:</w:t>
            </w:r>
            <w:r>
              <w:rPr>
                <w:color w:val="000000"/>
                <w:lang w:eastAsia="en-GB"/>
              </w:rPr>
              <w:t xml:space="preserve"> </w:t>
            </w:r>
            <w:r w:rsidRPr="00EE62DD">
              <w:rPr>
                <w:color w:val="000000"/>
                <w:lang w:eastAsia="en-GB"/>
              </w:rPr>
              <w:t>sirds un asinsvadu slimību vai vēža</w:t>
            </w:r>
            <w:r>
              <w:rPr>
                <w:color w:val="000000"/>
                <w:lang w:eastAsia="en-GB"/>
              </w:rPr>
              <w:t xml:space="preserve"> diagnostika un ārstniecība;</w:t>
            </w:r>
          </w:p>
          <w:p w14:paraId="1968F20C" w14:textId="77777777" w:rsidR="00EE62DD" w:rsidRDefault="00EE62DD" w:rsidP="00EE62DD">
            <w:pPr>
              <w:spacing w:before="120" w:after="120"/>
              <w:ind w:left="102" w:right="102"/>
              <w:jc w:val="both"/>
              <w:rPr>
                <w:color w:val="000000"/>
                <w:lang w:eastAsia="en-GB"/>
              </w:rPr>
            </w:pPr>
            <w:r w:rsidRPr="00BB2306">
              <w:rPr>
                <w:color w:val="000000"/>
                <w:lang w:eastAsia="en-GB"/>
              </w:rPr>
              <w:t>– reģionālā ekonomiskā attīstība</w:t>
            </w:r>
            <w:r w:rsidR="001C46D2">
              <w:rPr>
                <w:color w:val="000000"/>
                <w:lang w:eastAsia="en-GB"/>
              </w:rPr>
              <w:t>, tai skaitā</w:t>
            </w:r>
            <w:r w:rsidRPr="00BB2306">
              <w:rPr>
                <w:color w:val="000000"/>
                <w:lang w:eastAsia="en-GB"/>
              </w:rPr>
              <w:t xml:space="preserve"> risinājumi tautsaimniecības nozaru pārstrukturizācijai</w:t>
            </w:r>
            <w:r>
              <w:rPr>
                <w:color w:val="000000"/>
                <w:lang w:eastAsia="en-GB"/>
              </w:rPr>
              <w:t>;</w:t>
            </w:r>
          </w:p>
          <w:p w14:paraId="1968F20D" w14:textId="77777777" w:rsidR="00EE62DD" w:rsidRDefault="00EE62DD" w:rsidP="00EE62DD">
            <w:pPr>
              <w:spacing w:before="120" w:after="120"/>
              <w:ind w:left="102" w:right="102"/>
              <w:jc w:val="both"/>
              <w:rPr>
                <w:color w:val="000000"/>
                <w:lang w:eastAsia="en-GB"/>
              </w:rPr>
            </w:pPr>
            <w:r>
              <w:t xml:space="preserve">– </w:t>
            </w:r>
            <w:proofErr w:type="spellStart"/>
            <w:r w:rsidRPr="00EE62DD">
              <w:rPr>
                <w:color w:val="000000"/>
                <w:lang w:eastAsia="en-GB"/>
              </w:rPr>
              <w:t>klimatneitralitāte</w:t>
            </w:r>
            <w:proofErr w:type="spellEnd"/>
            <w:r w:rsidR="001C46D2">
              <w:rPr>
                <w:color w:val="000000"/>
                <w:lang w:eastAsia="en-GB"/>
              </w:rPr>
              <w:t>, tai skaitā</w:t>
            </w:r>
            <w:r>
              <w:rPr>
                <w:color w:val="000000"/>
                <w:lang w:eastAsia="en-GB"/>
              </w:rPr>
              <w:t xml:space="preserve"> </w:t>
            </w:r>
            <w:r w:rsidRPr="00EE62DD">
              <w:rPr>
                <w:color w:val="000000"/>
                <w:lang w:eastAsia="en-GB"/>
              </w:rPr>
              <w:t xml:space="preserve">efektīvas </w:t>
            </w:r>
            <w:proofErr w:type="spellStart"/>
            <w:r w:rsidRPr="00EE62DD">
              <w:rPr>
                <w:color w:val="000000"/>
                <w:lang w:eastAsia="en-GB"/>
              </w:rPr>
              <w:t>urbānās</w:t>
            </w:r>
            <w:proofErr w:type="spellEnd"/>
            <w:r w:rsidRPr="00EE62DD">
              <w:rPr>
                <w:color w:val="000000"/>
                <w:lang w:eastAsia="en-GB"/>
              </w:rPr>
              <w:t xml:space="preserve"> enerģijas sistēmas siltumapgādē, rūpniecībā, pakalpojumu sniegšanā</w:t>
            </w:r>
            <w:r>
              <w:rPr>
                <w:color w:val="000000"/>
                <w:lang w:eastAsia="en-GB"/>
              </w:rPr>
              <w:t xml:space="preserve">, </w:t>
            </w:r>
            <w:r w:rsidRPr="00EE62DD">
              <w:rPr>
                <w:color w:val="000000"/>
                <w:lang w:eastAsia="en-GB"/>
              </w:rPr>
              <w:t>inovatīvu alternatīvo degvielu un transporta tehnoloģiju izstrāde</w:t>
            </w:r>
            <w:r>
              <w:rPr>
                <w:color w:val="000000"/>
                <w:lang w:eastAsia="en-GB"/>
              </w:rPr>
              <w:t xml:space="preserve">, </w:t>
            </w:r>
            <w:r w:rsidRPr="00EE62DD">
              <w:rPr>
                <w:color w:val="000000"/>
                <w:lang w:eastAsia="en-GB"/>
              </w:rPr>
              <w:t>atjaunojamā enerģija vietējām enerģijas sistēmām;</w:t>
            </w:r>
          </w:p>
          <w:p w14:paraId="1968F20E" w14:textId="77777777" w:rsidR="001C46D2" w:rsidRDefault="001C46D2" w:rsidP="004D3C03">
            <w:pPr>
              <w:spacing w:before="120" w:after="120"/>
              <w:ind w:left="102" w:right="102"/>
              <w:jc w:val="both"/>
              <w:rPr>
                <w:color w:val="000000"/>
                <w:lang w:eastAsia="en-GB"/>
              </w:rPr>
            </w:pPr>
            <w:r w:rsidRPr="00BB2306">
              <w:rPr>
                <w:color w:val="000000"/>
                <w:lang w:eastAsia="en-GB"/>
              </w:rPr>
              <w:t xml:space="preserve">– </w:t>
            </w:r>
            <w:r w:rsidRPr="001C46D2">
              <w:rPr>
                <w:color w:val="000000"/>
                <w:lang w:eastAsia="en-GB"/>
              </w:rPr>
              <w:t>ilgtspējīga resursu izmantošana</w:t>
            </w:r>
            <w:r>
              <w:rPr>
                <w:color w:val="000000"/>
                <w:lang w:eastAsia="en-GB"/>
              </w:rPr>
              <w:t xml:space="preserve">, tai skaitā </w:t>
            </w:r>
            <w:r w:rsidR="005C7103" w:rsidRPr="00BB2306">
              <w:rPr>
                <w:color w:val="000000"/>
                <w:lang w:eastAsia="en-GB"/>
              </w:rPr>
              <w:t>risinājumi atkārtotai atkritumu izmantošanai</w:t>
            </w:r>
            <w:r>
              <w:rPr>
                <w:color w:val="000000"/>
                <w:lang w:eastAsia="en-GB"/>
              </w:rPr>
              <w:t>,</w:t>
            </w:r>
            <w:r w:rsidR="005C7103" w:rsidRPr="00BB2306">
              <w:rPr>
                <w:color w:val="000000"/>
                <w:lang w:eastAsia="en-GB"/>
              </w:rPr>
              <w:t xml:space="preserve"> mežu ilgtspēja, inovatīvu koksnes produktu izstrāde;</w:t>
            </w:r>
          </w:p>
          <w:p w14:paraId="1968F20F" w14:textId="77777777" w:rsidR="005C7103" w:rsidRDefault="001C46D2" w:rsidP="004D3C03">
            <w:pPr>
              <w:spacing w:before="120" w:after="120"/>
              <w:ind w:left="102" w:right="102"/>
              <w:jc w:val="both"/>
              <w:rPr>
                <w:color w:val="000000"/>
                <w:lang w:eastAsia="en-GB"/>
              </w:rPr>
            </w:pPr>
            <w:r w:rsidRPr="00033333">
              <w:rPr>
                <w:color w:val="000000"/>
                <w:lang w:eastAsia="en-GB"/>
              </w:rPr>
              <w:t xml:space="preserve">– </w:t>
            </w:r>
            <w:r>
              <w:rPr>
                <w:color w:val="000000"/>
                <w:lang w:eastAsia="en-GB"/>
              </w:rPr>
              <w:t>kvantu tehnoloģijas.</w:t>
            </w:r>
          </w:p>
          <w:p w14:paraId="1968F210" w14:textId="77777777" w:rsidR="00BB4194" w:rsidRDefault="003C3663" w:rsidP="004A2B07">
            <w:pPr>
              <w:spacing w:before="120" w:after="120"/>
              <w:ind w:left="102" w:right="102"/>
              <w:jc w:val="both"/>
              <w:rPr>
                <w:color w:val="000000"/>
                <w:lang w:eastAsia="en-GB"/>
              </w:rPr>
            </w:pPr>
            <w:r w:rsidRPr="004B58E3">
              <w:rPr>
                <w:b/>
                <w:color w:val="000000"/>
                <w:lang w:eastAsia="en-GB"/>
              </w:rPr>
              <w:t>5.</w:t>
            </w:r>
            <w:r>
              <w:rPr>
                <w:color w:val="000000"/>
                <w:lang w:eastAsia="en-GB"/>
              </w:rPr>
              <w:t> Noteikts 1.1.1.1. pasākuma piektajai projektu iesniegumu atlases kārtai paredzētais finansējums</w:t>
            </w:r>
            <w:r w:rsidR="009A52DB">
              <w:rPr>
                <w:color w:val="000000"/>
                <w:lang w:eastAsia="en-GB"/>
              </w:rPr>
              <w:t xml:space="preserve">, ko veido </w:t>
            </w:r>
            <w:proofErr w:type="spellStart"/>
            <w:r w:rsidR="004A2B07" w:rsidRPr="008A2155">
              <w:rPr>
                <w:color w:val="000000"/>
                <w:lang w:eastAsia="en-GB"/>
              </w:rPr>
              <w:t>virssaistību</w:t>
            </w:r>
            <w:proofErr w:type="spellEnd"/>
            <w:r w:rsidR="004A2B07" w:rsidRPr="008A2155">
              <w:rPr>
                <w:color w:val="000000"/>
                <w:lang w:eastAsia="en-GB"/>
              </w:rPr>
              <w:t xml:space="preserve"> finansējum</w:t>
            </w:r>
            <w:r w:rsidR="009A52DB">
              <w:rPr>
                <w:color w:val="000000"/>
                <w:lang w:eastAsia="en-GB"/>
              </w:rPr>
              <w:t>a</w:t>
            </w:r>
            <w:r w:rsidR="004A2B07" w:rsidRPr="008A2155">
              <w:rPr>
                <w:color w:val="000000"/>
                <w:lang w:eastAsia="en-GB"/>
              </w:rPr>
              <w:t xml:space="preserve"> </w:t>
            </w:r>
            <w:r w:rsidR="009A52DB">
              <w:rPr>
                <w:color w:val="000000"/>
                <w:lang w:eastAsia="en-GB"/>
              </w:rPr>
              <w:t xml:space="preserve">daļa </w:t>
            </w:r>
            <w:r w:rsidR="00BB4194">
              <w:rPr>
                <w:color w:val="000000"/>
                <w:lang w:eastAsia="en-GB"/>
              </w:rPr>
              <w:t>5</w:t>
            </w:r>
            <w:r w:rsidR="00BB4194" w:rsidRPr="00272F0A">
              <w:rPr>
                <w:color w:val="000000"/>
                <w:lang w:eastAsia="en-GB"/>
              </w:rPr>
              <w:t> </w:t>
            </w:r>
            <w:r w:rsidR="00BB4194">
              <w:rPr>
                <w:color w:val="000000"/>
                <w:lang w:eastAsia="en-GB"/>
              </w:rPr>
              <w:t>000</w:t>
            </w:r>
            <w:r w:rsidR="00BB4194" w:rsidRPr="00272F0A">
              <w:rPr>
                <w:color w:val="000000"/>
                <w:lang w:eastAsia="en-GB"/>
              </w:rPr>
              <w:t> </w:t>
            </w:r>
            <w:r w:rsidR="00BB4194">
              <w:rPr>
                <w:color w:val="000000"/>
                <w:lang w:eastAsia="en-GB"/>
              </w:rPr>
              <w:t>00</w:t>
            </w:r>
            <w:r w:rsidR="00BB4194" w:rsidRPr="00272F0A">
              <w:rPr>
                <w:color w:val="000000"/>
                <w:lang w:eastAsia="en-GB"/>
              </w:rPr>
              <w:t>0</w:t>
            </w:r>
            <w:r w:rsidR="00BB4194" w:rsidRPr="00272F0A">
              <w:rPr>
                <w:color w:val="60497A"/>
              </w:rPr>
              <w:t xml:space="preserve"> </w:t>
            </w:r>
            <w:r w:rsidR="004A2B07" w:rsidRPr="00272F0A">
              <w:rPr>
                <w:color w:val="000000"/>
                <w:lang w:eastAsia="en-GB"/>
              </w:rPr>
              <w:t xml:space="preserve">EUR </w:t>
            </w:r>
            <w:r w:rsidR="004A2B07" w:rsidRPr="008A2155">
              <w:rPr>
                <w:color w:val="000000"/>
                <w:lang w:eastAsia="en-GB"/>
              </w:rPr>
              <w:t xml:space="preserve">apmērā, tai skaitā ERAF </w:t>
            </w:r>
            <w:r w:rsidR="00BB4194" w:rsidRPr="00BB2306">
              <w:rPr>
                <w:color w:val="000000"/>
                <w:lang w:eastAsia="en-GB"/>
              </w:rPr>
              <w:lastRenderedPageBreak/>
              <w:t>4</w:t>
            </w:r>
            <w:r w:rsidR="00BB4194">
              <w:rPr>
                <w:color w:val="000000"/>
                <w:lang w:eastAsia="en-GB"/>
              </w:rPr>
              <w:t> </w:t>
            </w:r>
            <w:r w:rsidR="00BB4194" w:rsidRPr="00BB2306">
              <w:rPr>
                <w:color w:val="000000"/>
                <w:lang w:eastAsia="en-GB"/>
              </w:rPr>
              <w:t>250</w:t>
            </w:r>
            <w:r w:rsidR="00BB4194">
              <w:rPr>
                <w:color w:val="000000"/>
                <w:lang w:eastAsia="en-GB"/>
              </w:rPr>
              <w:t> </w:t>
            </w:r>
            <w:r w:rsidR="00BB4194" w:rsidRPr="00BB2306">
              <w:rPr>
                <w:color w:val="000000"/>
                <w:lang w:eastAsia="en-GB"/>
              </w:rPr>
              <w:t>000</w:t>
            </w:r>
            <w:r w:rsidR="00F150B0" w:rsidRPr="008A2155">
              <w:rPr>
                <w:color w:val="000000"/>
                <w:lang w:eastAsia="en-GB"/>
              </w:rPr>
              <w:t xml:space="preserve"> </w:t>
            </w:r>
            <w:r w:rsidR="004A2B07" w:rsidRPr="008A2155">
              <w:rPr>
                <w:color w:val="000000"/>
                <w:lang w:eastAsia="en-GB"/>
              </w:rPr>
              <w:t xml:space="preserve">EUR apmērā un VB finansējums </w:t>
            </w:r>
            <w:r w:rsidR="00FE3E17" w:rsidRPr="00FE3E17">
              <w:rPr>
                <w:color w:val="000000"/>
              </w:rPr>
              <w:t>750</w:t>
            </w:r>
            <w:r w:rsidR="00FE3E17">
              <w:rPr>
                <w:color w:val="000000"/>
              </w:rPr>
              <w:t> </w:t>
            </w:r>
            <w:r w:rsidR="00FE3E17" w:rsidRPr="00FE3E17">
              <w:rPr>
                <w:color w:val="000000"/>
              </w:rPr>
              <w:t>000</w:t>
            </w:r>
            <w:r w:rsidR="00F150B0" w:rsidRPr="008A2155">
              <w:rPr>
                <w:color w:val="000000"/>
                <w:lang w:eastAsia="en-GB"/>
              </w:rPr>
              <w:t xml:space="preserve"> </w:t>
            </w:r>
            <w:r w:rsidR="004A2B07" w:rsidRPr="008A2155">
              <w:rPr>
                <w:color w:val="000000"/>
                <w:lang w:eastAsia="en-GB"/>
              </w:rPr>
              <w:t>EUR apmērā</w:t>
            </w:r>
            <w:r w:rsidR="00886C28" w:rsidRPr="008A2155">
              <w:rPr>
                <w:color w:val="000000"/>
                <w:lang w:eastAsia="en-GB"/>
              </w:rPr>
              <w:t>.</w:t>
            </w:r>
            <w:r w:rsidR="00BB4194">
              <w:rPr>
                <w:color w:val="000000"/>
                <w:lang w:eastAsia="en-GB"/>
              </w:rPr>
              <w:t xml:space="preserve"> </w:t>
            </w:r>
          </w:p>
          <w:p w14:paraId="1968F211" w14:textId="46826C2E" w:rsidR="004A2B07" w:rsidRDefault="00886C28" w:rsidP="00BB4194">
            <w:pPr>
              <w:spacing w:before="120" w:after="120"/>
              <w:ind w:left="102" w:right="102"/>
              <w:jc w:val="both"/>
              <w:rPr>
                <w:color w:val="000000"/>
                <w:lang w:eastAsia="en-GB"/>
              </w:rPr>
            </w:pPr>
            <w:r>
              <w:rPr>
                <w:color w:val="000000"/>
                <w:lang w:eastAsia="en-GB"/>
              </w:rPr>
              <w:t>Piektās projektu iesniegumu atlases kārtas ietvaros pieejamo publisko finansējumu</w:t>
            </w:r>
            <w:r w:rsidR="004A2B07" w:rsidRPr="004A2B07">
              <w:rPr>
                <w:color w:val="000000"/>
                <w:lang w:eastAsia="en-GB"/>
              </w:rPr>
              <w:t xml:space="preserve"> plānots </w:t>
            </w:r>
            <w:r w:rsidR="004A2B07">
              <w:rPr>
                <w:color w:val="000000"/>
                <w:lang w:eastAsia="en-GB"/>
              </w:rPr>
              <w:t xml:space="preserve">novirzīt </w:t>
            </w:r>
            <w:r w:rsidR="004A2B07" w:rsidRPr="0086642C">
              <w:t xml:space="preserve">Covid-19 infekcijas slimības izplatības ierobežošanai un iedzīvotāju aizsardzībai (noteikumu projekta </w:t>
            </w:r>
            <w:r w:rsidR="00135B09">
              <w:t>1</w:t>
            </w:r>
            <w:r w:rsidR="003A2026">
              <w:t>6</w:t>
            </w:r>
            <w:r w:rsidR="004A2B07" w:rsidRPr="0086642C">
              <w:t>. punkts; MK noteikumu 12.</w:t>
            </w:r>
            <w:r w:rsidR="004A2B07" w:rsidRPr="0086642C">
              <w:rPr>
                <w:vertAlign w:val="superscript"/>
              </w:rPr>
              <w:t>4 </w:t>
            </w:r>
            <w:r w:rsidR="004A2B07" w:rsidRPr="0086642C">
              <w:t>  un 12.</w:t>
            </w:r>
            <w:r w:rsidR="004A2B07" w:rsidRPr="0086642C">
              <w:rPr>
                <w:vertAlign w:val="superscript"/>
              </w:rPr>
              <w:t xml:space="preserve">5  </w:t>
            </w:r>
            <w:r w:rsidR="004A2B07" w:rsidRPr="0086642C">
              <w:t>punkts</w:t>
            </w:r>
            <w:r w:rsidR="004A2B07" w:rsidRPr="004A2B07">
              <w:rPr>
                <w:color w:val="000000"/>
                <w:lang w:eastAsia="en-GB"/>
              </w:rPr>
              <w:t>)</w:t>
            </w:r>
            <w:r w:rsidR="00FE3E17">
              <w:rPr>
                <w:color w:val="000000"/>
                <w:lang w:eastAsia="en-GB"/>
              </w:rPr>
              <w:t>.</w:t>
            </w:r>
          </w:p>
          <w:p w14:paraId="7CC7ABF7" w14:textId="77777777" w:rsidR="00B2632A" w:rsidRPr="00B2632A" w:rsidRDefault="00B2632A" w:rsidP="00B2632A">
            <w:pPr>
              <w:spacing w:before="120" w:after="120"/>
              <w:ind w:left="102" w:right="102"/>
              <w:jc w:val="both"/>
              <w:rPr>
                <w:color w:val="000000"/>
                <w:lang w:eastAsia="en-GB"/>
              </w:rPr>
            </w:pPr>
            <w:r w:rsidRPr="00B2632A">
              <w:rPr>
                <w:color w:val="000000"/>
                <w:lang w:eastAsia="en-GB"/>
              </w:rPr>
              <w:t>Plānots, ka 1.1.1.1. pasākuma piektā atlases kārta tiks izsludināta 2021. gada pirmajā ceturksnī  un 1.1.1.3. pasākuma otrā atlases kārta tiks izsludināta 2021.gada janvārī. Ņemot vērā 1.1.1.1. pasākuma piektās atlases kārtas un 1.1.1.3. pasākuma otrās atlases kārtas izsludināšanai un projektu izvērtēšanai nepieciešamo laiku, nav iespējams izpildīt Ministru kabineta 2019. gada 11. oktobra sēdes protokola Nr. 47 3.§ 11.2.apakšpunkta nosacījumus, līdz ar to nepieciešams projektu līgumu vai vienošanās par projektu īstenošanu noslēgšanas termiņu pagarināt līdz 2021.gada 31.decembrim.</w:t>
            </w:r>
          </w:p>
          <w:p w14:paraId="131D1B38" w14:textId="77777777" w:rsidR="00B2632A" w:rsidRPr="00B2632A" w:rsidRDefault="00B2632A" w:rsidP="00B2632A">
            <w:pPr>
              <w:spacing w:before="120" w:after="120"/>
              <w:ind w:left="102" w:right="102"/>
              <w:jc w:val="both"/>
              <w:rPr>
                <w:color w:val="000000"/>
                <w:lang w:eastAsia="en-GB"/>
              </w:rPr>
            </w:pPr>
            <w:r w:rsidRPr="00B2632A">
              <w:rPr>
                <w:color w:val="000000"/>
                <w:lang w:eastAsia="en-GB"/>
              </w:rPr>
              <w:t xml:space="preserve">1.1.1.1. pasākuma piektās projektu iesniegumu atlases kārtas mērķis ir Covid-19 pandēmijas ierobežošana, ko sekmēs jaunu produktu vai ārstniecības metožu izstrāde Covid-19 infekcijas slimības izplatības ierobežošanai un iedzīvotāju aizsardzībai. </w:t>
            </w:r>
          </w:p>
          <w:p w14:paraId="5EA9E9D1" w14:textId="77777777" w:rsidR="00B2632A" w:rsidRPr="00B2632A" w:rsidRDefault="00B2632A" w:rsidP="00B2632A">
            <w:pPr>
              <w:spacing w:before="120" w:after="120"/>
              <w:ind w:left="102" w:right="102"/>
              <w:jc w:val="both"/>
              <w:rPr>
                <w:color w:val="000000"/>
                <w:lang w:eastAsia="en-GB"/>
              </w:rPr>
            </w:pPr>
            <w:r w:rsidRPr="00B2632A">
              <w:rPr>
                <w:color w:val="000000"/>
                <w:lang w:eastAsia="en-GB"/>
              </w:rPr>
              <w:t>Izstrādājot 1.1.1.1. pasākuma piektās atlases kārtas un 1.1.1.3. pasākuma otrās atlases kārtas nosacījumus, tika plānots, ka projektu īstenošanas indikatīvais ilgums būs līdz 2 gadiem, līdz ar to termiņa pagarinājumam nav būtiskas ietekmes uz projekta īstenošanas riskiem, t.i. uz projektu sekmīgu pabeigšanu, darbību izpildi un rādītāju sasniegšanu.</w:t>
            </w:r>
          </w:p>
          <w:p w14:paraId="1968F217" w14:textId="77777777" w:rsidR="009E23FD" w:rsidRDefault="001C197C" w:rsidP="00BB2306">
            <w:pPr>
              <w:pStyle w:val="ListParagraph"/>
              <w:spacing w:before="240" w:after="240"/>
              <w:ind w:left="102" w:right="102"/>
              <w:jc w:val="both"/>
              <w:rPr>
                <w:rFonts w:eastAsiaTheme="minorEastAsia"/>
                <w:b/>
              </w:rPr>
            </w:pPr>
            <w:r w:rsidRPr="00BB2306">
              <w:rPr>
                <w:rFonts w:eastAsiaTheme="minorEastAsia"/>
                <w:b/>
                <w:sz w:val="24"/>
                <w:szCs w:val="24"/>
              </w:rPr>
              <w:t>II</w:t>
            </w:r>
            <w:r w:rsidRPr="001C197C">
              <w:rPr>
                <w:b/>
                <w:color w:val="000000"/>
                <w:lang w:eastAsia="en-GB"/>
              </w:rPr>
              <w:t>. </w:t>
            </w:r>
            <w:r w:rsidR="009E23FD" w:rsidRPr="002B5815">
              <w:rPr>
                <w:rFonts w:eastAsiaTheme="minorEastAsia"/>
                <w:b/>
              </w:rPr>
              <w:t>MK noteikumu normu sistematizācija</w:t>
            </w:r>
          </w:p>
          <w:p w14:paraId="1968F218" w14:textId="3CD95F4C" w:rsidR="00B40CCF" w:rsidRDefault="00B40CCF" w:rsidP="00BB2306">
            <w:pPr>
              <w:spacing w:before="120" w:after="120"/>
              <w:ind w:left="102" w:right="102"/>
              <w:jc w:val="both"/>
            </w:pPr>
            <w:r>
              <w:t xml:space="preserve">Saskaņā ar MK noteikumiem 1.1.1.1. pasākuma mērķis ir atbalstīt pētniecību, kas sniedz ieguldījumu Latvijas viedās specializācijas stratēģijas mērķu sasniegšanā, zinātnes un tehnoloģiju </w:t>
            </w:r>
            <w:proofErr w:type="spellStart"/>
            <w:r>
              <w:t>cilvēkkapitāla</w:t>
            </w:r>
            <w:proofErr w:type="spellEnd"/>
            <w:r>
              <w:t xml:space="preserve"> attīstībā un jaunu zināšanu radīšanā tautsaimniecības konkurētspējas uzlabošanai. Pasākuma ietvaros tiek atbalstīti pētniecības projekti, kas sniedz ieguldījumu Latvijas viedās specializācijas stratēģijas (turpmāk – RIS3) noteikto tautsaimniecības transformācijas virzienu un izaugsmes prioritāšu īstenošanā un specializācijas jomu attīstībā. Virzību uz RIS3 mērķu sasniegšanu raksturo:</w:t>
            </w:r>
          </w:p>
          <w:p w14:paraId="1968F219" w14:textId="77777777" w:rsidR="00B40CCF" w:rsidRDefault="00B40CCF" w:rsidP="00BB2306">
            <w:pPr>
              <w:spacing w:before="120" w:after="120"/>
              <w:ind w:left="102" w:right="102"/>
              <w:jc w:val="both"/>
            </w:pPr>
            <w:r>
              <w:t>– RIS3 mērķa sasniegšanas rādītāji, tai skaitā kopējie ieguldījumi pētniecībā un attīstībā, Latvijas pozīcija Eiropas inovāciju rādītāju grupā un produktivitātes pieaugums tautsaimniecībā;</w:t>
            </w:r>
          </w:p>
          <w:p w14:paraId="1968F21A" w14:textId="77777777" w:rsidR="00B40CCF" w:rsidRDefault="00B40CCF" w:rsidP="00BB2306">
            <w:pPr>
              <w:spacing w:before="120" w:after="120"/>
              <w:ind w:left="102" w:right="102"/>
              <w:jc w:val="both"/>
            </w:pPr>
            <w:r>
              <w:t xml:space="preserve">– RIS3 mikro līmeņa rādītāji, tai skaitā zinātnisko institūciju licenču/patentu ieņēmumi, uzņēmumu līdzfinansējums P&amp;A projektiem, jaunradītās darba vietas, t.sk. tās, kurās </w:t>
            </w:r>
            <w:r>
              <w:lastRenderedPageBreak/>
              <w:t>nodarbināti zinātniskie darbinieki publiskajā un uzņēmējdarbības sektorā.</w:t>
            </w:r>
          </w:p>
          <w:p w14:paraId="1968F21B" w14:textId="7A29B249" w:rsidR="00B40CCF" w:rsidRDefault="00B40CCF" w:rsidP="00BB2306">
            <w:pPr>
              <w:spacing w:before="120" w:after="120"/>
              <w:ind w:left="102" w:right="102"/>
              <w:jc w:val="both"/>
            </w:pPr>
            <w:r>
              <w:t xml:space="preserve">Tādējādi MK noteikumi izstrādāti ar nolūku 1.1.1.1. pasākumu izveidot kā instrumentu Latvijas inovācijas sistēmas stiprināšanai un pārejai uz inovatīvu ekonomiku (tautsaimniecības transformācija), nodrošinot mijiedarbību starp visiem inovācijas sistēmas subjektiem – </w:t>
            </w:r>
            <w:r w:rsidR="00135B09">
              <w:t>zinātniskajām institūcijām un saimnieciskās darbības veicējiem</w:t>
            </w:r>
            <w:r w:rsidR="001A575E">
              <w:t xml:space="preserve"> (juridiskām personām)</w:t>
            </w:r>
            <w:r>
              <w:t>, k</w:t>
            </w:r>
            <w:r w:rsidR="001A575E">
              <w:t>as</w:t>
            </w:r>
            <w:r>
              <w:t xml:space="preserve"> rada un ievieš jaunus, zināšanu ietilpīgus un konkurētspējīgus produktus un tehnoloģijas.</w:t>
            </w:r>
          </w:p>
          <w:p w14:paraId="1968F21C" w14:textId="77777777" w:rsidR="001C197C" w:rsidRDefault="001C197C" w:rsidP="0081796F">
            <w:pPr>
              <w:spacing w:before="120" w:after="120"/>
              <w:ind w:left="102" w:right="102"/>
              <w:jc w:val="both"/>
              <w:rPr>
                <w:b/>
                <w:color w:val="000000"/>
                <w:lang w:eastAsia="en-GB"/>
              </w:rPr>
            </w:pPr>
            <w:r>
              <w:rPr>
                <w:b/>
                <w:color w:val="000000"/>
                <w:lang w:eastAsia="en-GB"/>
              </w:rPr>
              <w:t>1. </w:t>
            </w:r>
            <w:r w:rsidRPr="00B40CCF">
              <w:rPr>
                <w:b/>
                <w:color w:val="000000"/>
                <w:lang w:eastAsia="en-GB"/>
              </w:rPr>
              <w:t>Termin</w:t>
            </w:r>
            <w:r w:rsidR="00B40CCF">
              <w:rPr>
                <w:b/>
                <w:color w:val="000000"/>
                <w:lang w:eastAsia="en-GB"/>
              </w:rPr>
              <w:t>a</w:t>
            </w:r>
            <w:r w:rsidRPr="00B40CCF">
              <w:rPr>
                <w:b/>
                <w:color w:val="000000"/>
                <w:lang w:eastAsia="en-GB"/>
              </w:rPr>
              <w:t xml:space="preserve"> "</w:t>
            </w:r>
            <w:r w:rsidR="00B40CCF" w:rsidRPr="00B40CCF">
              <w:rPr>
                <w:b/>
                <w:color w:val="000000"/>
                <w:lang w:eastAsia="en-GB"/>
              </w:rPr>
              <w:t>saimnieciskās darbības veicējs</w:t>
            </w:r>
            <w:r w:rsidRPr="00B40CCF">
              <w:rPr>
                <w:b/>
                <w:color w:val="000000"/>
                <w:lang w:eastAsia="en-GB"/>
              </w:rPr>
              <w:t>"</w:t>
            </w:r>
            <w:r>
              <w:rPr>
                <w:color w:val="000000"/>
                <w:lang w:eastAsia="en-GB"/>
              </w:rPr>
              <w:t xml:space="preserve"> </w:t>
            </w:r>
            <w:r w:rsidR="00B40CCF" w:rsidRPr="00B40CCF">
              <w:rPr>
                <w:b/>
                <w:color w:val="000000"/>
                <w:lang w:eastAsia="en-GB"/>
              </w:rPr>
              <w:t>ieviešana</w:t>
            </w:r>
          </w:p>
          <w:p w14:paraId="1968F21D" w14:textId="2CA985E5" w:rsidR="001C197C" w:rsidRPr="001C197C" w:rsidRDefault="001C197C" w:rsidP="001C197C">
            <w:pPr>
              <w:spacing w:before="120" w:after="120"/>
              <w:ind w:left="102" w:right="102"/>
              <w:jc w:val="both"/>
              <w:rPr>
                <w:color w:val="000000"/>
                <w:lang w:eastAsia="en-GB"/>
              </w:rPr>
            </w:pPr>
            <w:r w:rsidRPr="001C197C">
              <w:rPr>
                <w:color w:val="000000"/>
                <w:lang w:eastAsia="en-GB"/>
              </w:rPr>
              <w:t xml:space="preserve">Saskaņā ar MK noteikumu 2.12. un 2.24. apakšpunktu  1.1.1.1. pasākuma ietvaros termina "komersants" tvērumu nosaka atbilstoši Eiropas Komisijas 2014. gada 17. jūnija Regulas Nr. 651/2014, ar ko noteiktas atbalsta kategorijas atzīst par saderīgām ar iekšējo tirgu, piemērojot Līguma 107. un 108. pantu (turpmāk – Komisijas regula Nr. 651/2014) 1. pielikumam "MVU definīcija", kurā noteikts, ka "Par uzņēmumu uzskata jebkuru saimnieciskās darbības subjektu neatkarīgi no tā juridiskās formas. Tas jo īpaši ietver </w:t>
            </w:r>
            <w:proofErr w:type="spellStart"/>
            <w:r w:rsidRPr="001C197C">
              <w:rPr>
                <w:color w:val="000000"/>
                <w:lang w:eastAsia="en-GB"/>
              </w:rPr>
              <w:t>pašnodarbinātas</w:t>
            </w:r>
            <w:proofErr w:type="spellEnd"/>
            <w:r w:rsidRPr="001C197C">
              <w:rPr>
                <w:color w:val="000000"/>
                <w:lang w:eastAsia="en-GB"/>
              </w:rPr>
              <w:t xml:space="preserve"> personas un ģimenes uzņēmumus, kas nodarbojas ar amatniecību vai veic citu darbību, kā arī personālsabiedrības un apvienības, kas regulāri ir iesaistītas saimnieciskajā darbībā" . </w:t>
            </w:r>
          </w:p>
          <w:p w14:paraId="1968F21E" w14:textId="77777777" w:rsidR="001C197C" w:rsidRPr="001C197C" w:rsidRDefault="001C197C" w:rsidP="001C197C">
            <w:pPr>
              <w:spacing w:before="120" w:after="120"/>
              <w:ind w:left="102" w:right="102"/>
              <w:jc w:val="both"/>
              <w:rPr>
                <w:color w:val="000000"/>
                <w:lang w:eastAsia="en-GB"/>
              </w:rPr>
            </w:pPr>
            <w:r w:rsidRPr="001C197C">
              <w:rPr>
                <w:color w:val="000000"/>
                <w:lang w:eastAsia="en-GB"/>
              </w:rPr>
              <w:t xml:space="preserve">Atbilstoši Eiropas Komisijas paziņojuma "Nostādnes par valsts atbalstu pētniecībai, izstrādei un inovācijai" (Eiropas Savienības Oficiālais Vēstnesis, 2014. gada 27. jūnijs, Nr. C 198/1) </w:t>
            </w:r>
            <w:r w:rsidR="00A42AEE">
              <w:rPr>
                <w:color w:val="000000"/>
                <w:lang w:eastAsia="en-GB"/>
              </w:rPr>
              <w:t xml:space="preserve">(turpmāk – Nostādnes) </w:t>
            </w:r>
            <w:r w:rsidRPr="001C197C">
              <w:rPr>
                <w:color w:val="000000"/>
                <w:lang w:eastAsia="en-GB"/>
              </w:rPr>
              <w:t>17. punktam "(…) lai kvalificētos kā uzņēmums, izšķiroši ir tas, vai saņēmējs veic saimniecisku darbību, kas ietver produktu vai pakalpojumu piedāvāšanu konkrētā tirgū".</w:t>
            </w:r>
          </w:p>
          <w:p w14:paraId="1968F21F" w14:textId="42401ABC" w:rsidR="001C197C" w:rsidRDefault="001C197C" w:rsidP="001C197C">
            <w:pPr>
              <w:spacing w:before="120" w:after="120"/>
              <w:ind w:left="102" w:right="102"/>
              <w:jc w:val="both"/>
              <w:rPr>
                <w:color w:val="000000"/>
                <w:lang w:eastAsia="en-GB"/>
              </w:rPr>
            </w:pPr>
            <w:r w:rsidRPr="001C197C">
              <w:rPr>
                <w:color w:val="000000"/>
                <w:lang w:eastAsia="en-GB"/>
              </w:rPr>
              <w:t>Saskaņā ar MK noteikumu anotācijas V sadaļā "Tiesību akta projekta atbilstība Latvijas Republikas starptautiskajām saistībām" sniegto informāciju Komisijas regulas Nr. 651/2014 1. pielikuma normas ir ieviestas pilnībā, neparedzot stingrākas prasības. Ievērojot minēto, ir secināms, ka MK noteikumu kontekstā termins "komersants" ietver jebkuru saimnieciskās darbības subjektu neatkarīgi no tā juridiskās formas.</w:t>
            </w:r>
          </w:p>
          <w:p w14:paraId="1968F220" w14:textId="77777777" w:rsidR="009A24ED" w:rsidRDefault="001C197C" w:rsidP="001C197C">
            <w:pPr>
              <w:spacing w:before="120" w:after="120"/>
              <w:ind w:left="102" w:right="102"/>
              <w:jc w:val="both"/>
              <w:rPr>
                <w:color w:val="000000"/>
                <w:lang w:eastAsia="en-GB"/>
              </w:rPr>
            </w:pPr>
            <w:r>
              <w:rPr>
                <w:color w:val="000000"/>
                <w:lang w:eastAsia="en-GB"/>
              </w:rPr>
              <w:t xml:space="preserve">Lai novērstu neviennozīmīgo termina </w:t>
            </w:r>
            <w:r w:rsidRPr="001C197C">
              <w:rPr>
                <w:color w:val="000000"/>
                <w:lang w:eastAsia="en-GB"/>
              </w:rPr>
              <w:t>"komersants"</w:t>
            </w:r>
            <w:r>
              <w:rPr>
                <w:color w:val="000000"/>
                <w:lang w:eastAsia="en-GB"/>
              </w:rPr>
              <w:t xml:space="preserve"> tvērumu, noteikumu projekts paredz viennozīmīgi noteikt, ka MK noteikumu izpratnē sākotnēji lietotais termins </w:t>
            </w:r>
            <w:r w:rsidRPr="001C197C">
              <w:rPr>
                <w:color w:val="000000"/>
                <w:lang w:eastAsia="en-GB"/>
              </w:rPr>
              <w:t xml:space="preserve">"komersants" </w:t>
            </w:r>
            <w:r>
              <w:rPr>
                <w:color w:val="000000"/>
                <w:lang w:eastAsia="en-GB"/>
              </w:rPr>
              <w:t>attiecināms uz saimnieciskās darbības veicēju</w:t>
            </w:r>
            <w:r w:rsidR="00B50531">
              <w:rPr>
                <w:color w:val="000000"/>
                <w:lang w:eastAsia="en-GB"/>
              </w:rPr>
              <w:t xml:space="preserve"> (juridisku personu)</w:t>
            </w:r>
            <w:r w:rsidR="009A24ED">
              <w:rPr>
                <w:color w:val="000000"/>
                <w:lang w:eastAsia="en-GB"/>
              </w:rPr>
              <w:t>, kas attiecīgajā tirgū piedāvā preces vai pakalpojumus (noteikumu projekta 1., 3., 4.</w:t>
            </w:r>
            <w:r w:rsidR="00353B28">
              <w:rPr>
                <w:color w:val="000000"/>
                <w:lang w:eastAsia="en-GB"/>
              </w:rPr>
              <w:t>, 5.</w:t>
            </w:r>
            <w:r w:rsidR="009A24ED">
              <w:rPr>
                <w:color w:val="000000"/>
                <w:lang w:eastAsia="en-GB"/>
              </w:rPr>
              <w:t xml:space="preserve"> punkts).</w:t>
            </w:r>
          </w:p>
          <w:p w14:paraId="1968F221" w14:textId="77777777" w:rsidR="009A24ED" w:rsidRDefault="009A24ED" w:rsidP="009A24ED">
            <w:pPr>
              <w:spacing w:before="120" w:after="120"/>
              <w:ind w:left="102" w:right="102"/>
              <w:jc w:val="both"/>
              <w:rPr>
                <w:b/>
                <w:color w:val="000000"/>
                <w:lang w:eastAsia="en-GB"/>
              </w:rPr>
            </w:pPr>
            <w:r>
              <w:rPr>
                <w:b/>
                <w:color w:val="000000"/>
                <w:lang w:eastAsia="en-GB"/>
              </w:rPr>
              <w:t>2. </w:t>
            </w:r>
            <w:r w:rsidR="00B40CCF">
              <w:rPr>
                <w:b/>
              </w:rPr>
              <w:t>Sadarbības partneru juridiskais statuss</w:t>
            </w:r>
          </w:p>
          <w:p w14:paraId="1968F222" w14:textId="304E7E6E" w:rsidR="009A24ED" w:rsidRDefault="009A24ED" w:rsidP="00BB2306">
            <w:pPr>
              <w:spacing w:before="120" w:after="120"/>
              <w:ind w:left="102" w:right="102"/>
              <w:jc w:val="both"/>
            </w:pPr>
            <w:r w:rsidRPr="00FC2AFF">
              <w:lastRenderedPageBreak/>
              <w:t>MK noteikumu 23.1.apakšpunkt</w:t>
            </w:r>
            <w:r>
              <w:t xml:space="preserve">ā nav viennozīmīgi skaidri noteikts personu loks, kas kā sadarbības partneris var </w:t>
            </w:r>
            <w:r w:rsidR="00B40CCF">
              <w:t>iesaistīties pētniecības</w:t>
            </w:r>
            <w:r>
              <w:t xml:space="preserve"> projekta īstenošanā.</w:t>
            </w:r>
          </w:p>
          <w:p w14:paraId="1968F223" w14:textId="77777777" w:rsidR="009A24ED" w:rsidRPr="00FC2AFF" w:rsidRDefault="009A24ED" w:rsidP="00BB2306">
            <w:pPr>
              <w:spacing w:before="120" w:after="120"/>
              <w:ind w:left="102" w:right="102"/>
              <w:jc w:val="both"/>
            </w:pPr>
            <w:r w:rsidRPr="00FC2AFF">
              <w:t>Atbilstoši Komerclikuma:</w:t>
            </w:r>
          </w:p>
          <w:p w14:paraId="1968F224" w14:textId="77777777" w:rsidR="009A24ED" w:rsidRPr="00FC2AFF" w:rsidRDefault="009A24ED" w:rsidP="00BB2306">
            <w:pPr>
              <w:spacing w:before="120" w:after="120"/>
              <w:ind w:left="102" w:right="102"/>
              <w:jc w:val="both"/>
            </w:pPr>
            <w:r w:rsidRPr="00FC2AFF">
              <w:t>– 1. panta otrajai daļai "</w:t>
            </w:r>
            <w:r w:rsidRPr="00FC2AFF">
              <w:rPr>
                <w:i/>
              </w:rPr>
              <w:t>Komercdarbība ir atklāta saimnieciskā darbība, kuru savā vārdā peļņas gūšanas nolūkā veic komersants. Komercdarbība ir viens no uzņēmējdarbības veidiem</w:t>
            </w:r>
            <w:r w:rsidRPr="00FC2AFF">
              <w:t>";</w:t>
            </w:r>
          </w:p>
          <w:p w14:paraId="1968F225" w14:textId="77777777" w:rsidR="009A24ED" w:rsidRPr="00FC2AFF" w:rsidRDefault="009A24ED" w:rsidP="00BB2306">
            <w:pPr>
              <w:spacing w:before="120" w:after="120"/>
              <w:ind w:left="102" w:right="102"/>
              <w:jc w:val="both"/>
            </w:pPr>
            <w:r w:rsidRPr="00FC2AFF">
              <w:t>– 2. pantam "</w:t>
            </w:r>
            <w:r w:rsidRPr="00FC2AFF">
              <w:rPr>
                <w:i/>
              </w:rPr>
              <w:t>Ja komersants ir ierakstīts komercreģistrā, nav pieļaujama ieruna par to, ka saimnieciskā darbība, kas veikta, izmantojot komercreģistrā ierakstīto firmu, nav komercdarbība</w:t>
            </w:r>
            <w:r w:rsidRPr="00FC2AFF">
              <w:t>".</w:t>
            </w:r>
          </w:p>
          <w:p w14:paraId="1968F226" w14:textId="4E551D86" w:rsidR="009A24ED" w:rsidRPr="00BB2306" w:rsidRDefault="009A24ED" w:rsidP="00BB2306">
            <w:pPr>
              <w:pStyle w:val="ListParagraph"/>
              <w:spacing w:before="60" w:after="60"/>
              <w:ind w:left="101" w:right="102"/>
              <w:jc w:val="both"/>
              <w:rPr>
                <w:sz w:val="24"/>
                <w:szCs w:val="24"/>
              </w:rPr>
            </w:pPr>
            <w:r w:rsidRPr="00BB2306">
              <w:rPr>
                <w:sz w:val="24"/>
                <w:szCs w:val="24"/>
              </w:rPr>
              <w:t>Saskaņā ar MK noteikumu 23.1.apakšpunktu "</w:t>
            </w:r>
            <w:r w:rsidRPr="00BB2306">
              <w:rPr>
                <w:i/>
                <w:sz w:val="24"/>
                <w:szCs w:val="24"/>
              </w:rPr>
              <w:t xml:space="preserve">sadarbības partneris var būt zinātniskā institūcija vai komersants, kura </w:t>
            </w:r>
            <w:r w:rsidRPr="00BB2306">
              <w:rPr>
                <w:b/>
                <w:i/>
                <w:sz w:val="24"/>
                <w:szCs w:val="24"/>
              </w:rPr>
              <w:t>saimnieciskā darbība</w:t>
            </w:r>
            <w:r w:rsidRPr="00BB2306">
              <w:rPr>
                <w:i/>
                <w:sz w:val="24"/>
                <w:szCs w:val="24"/>
              </w:rPr>
              <w:t xml:space="preserve"> ir reģistrēta Latvijā vai ārvalstī</w:t>
            </w:r>
            <w:r w:rsidRPr="00BB2306">
              <w:rPr>
                <w:sz w:val="24"/>
                <w:szCs w:val="24"/>
              </w:rPr>
              <w:t>". Ievērojot minēto secināms, ka sadarbības partneris neatkarīgi no tā tiesiskā statusa (piemēram, peļņas mērķa neesamība) var iesaistīties ne tikai komercdarbībā, bet jebkurā saimnieciskajā darbībā</w:t>
            </w:r>
            <w:r w:rsidRPr="00BB2306">
              <w:rPr>
                <w:rStyle w:val="FootnoteReference"/>
                <w:sz w:val="24"/>
                <w:szCs w:val="24"/>
              </w:rPr>
              <w:footnoteReference w:id="3"/>
            </w:r>
            <w:r w:rsidRPr="00BB2306">
              <w:rPr>
                <w:sz w:val="24"/>
                <w:szCs w:val="24"/>
              </w:rPr>
              <w:t xml:space="preserve">, ko pamato preču vai pakalpojumu piedāvāšana konkrētā tirgū. </w:t>
            </w:r>
          </w:p>
          <w:p w14:paraId="1968F227" w14:textId="0292D58D" w:rsidR="009A24ED" w:rsidRPr="00BB2306" w:rsidRDefault="009A24ED" w:rsidP="00BB2306">
            <w:pPr>
              <w:pStyle w:val="ListParagraph"/>
              <w:spacing w:before="60" w:after="60"/>
              <w:ind w:left="101" w:right="102"/>
              <w:jc w:val="both"/>
              <w:rPr>
                <w:sz w:val="24"/>
                <w:szCs w:val="24"/>
              </w:rPr>
            </w:pPr>
            <w:r w:rsidRPr="00BB2306">
              <w:rPr>
                <w:sz w:val="24"/>
                <w:szCs w:val="24"/>
              </w:rPr>
              <w:t>Lai novērstu neviennozīmīgi interpretējamo MK noteikumu 23.1.apakšpunkta regulējumu, noteikumu projekts paredz viennozīmīgi skaidrot sadarbības partneru tvērumu</w:t>
            </w:r>
            <w:r w:rsidR="00C71D99" w:rsidRPr="00BB2306">
              <w:rPr>
                <w:sz w:val="24"/>
                <w:szCs w:val="24"/>
              </w:rPr>
              <w:t xml:space="preserve">, nosaucot saimnieciskās darbības veicējus (juridiskas personas), kas var iesaistīties pētniecības projekta īstenošanā, proti, sadarbības partneris var būt </w:t>
            </w:r>
            <w:r w:rsidR="00965035" w:rsidRPr="00BB2306">
              <w:rPr>
                <w:sz w:val="24"/>
                <w:szCs w:val="24"/>
              </w:rPr>
              <w:t>Komercreģistrā reģistrēta juridiska persona</w:t>
            </w:r>
            <w:r w:rsidR="00C71D99" w:rsidRPr="00BB2306">
              <w:rPr>
                <w:sz w:val="24"/>
                <w:szCs w:val="24"/>
              </w:rPr>
              <w:t xml:space="preserve">, biedrība, nodibinājums, zemnieku saimniecība, lauksaimniecības pakalpojumu kooperatīvā sabiedrība </w:t>
            </w:r>
            <w:r w:rsidR="00A309AB" w:rsidRPr="00BB2306">
              <w:rPr>
                <w:sz w:val="24"/>
                <w:szCs w:val="24"/>
              </w:rPr>
              <w:t xml:space="preserve"> (noteikumu projekta </w:t>
            </w:r>
            <w:r w:rsidR="003735FA" w:rsidRPr="00BB2306">
              <w:rPr>
                <w:sz w:val="24"/>
                <w:szCs w:val="24"/>
              </w:rPr>
              <w:t>1</w:t>
            </w:r>
            <w:r w:rsidR="003735FA">
              <w:rPr>
                <w:sz w:val="24"/>
                <w:szCs w:val="24"/>
              </w:rPr>
              <w:t>8</w:t>
            </w:r>
            <w:r w:rsidR="00A309AB" w:rsidRPr="00BB2306">
              <w:rPr>
                <w:sz w:val="24"/>
                <w:szCs w:val="24"/>
              </w:rPr>
              <w:t>. punkts, MK noteikumu 23.1. apakšpunkts).</w:t>
            </w:r>
          </w:p>
          <w:p w14:paraId="1968F228" w14:textId="77777777" w:rsidR="00A309AB" w:rsidRPr="0060095D" w:rsidRDefault="00A309AB" w:rsidP="00A309AB">
            <w:pPr>
              <w:spacing w:before="120" w:after="120"/>
              <w:ind w:left="102" w:right="102"/>
              <w:jc w:val="both"/>
              <w:rPr>
                <w:b/>
                <w:color w:val="000000"/>
                <w:lang w:eastAsia="en-GB"/>
              </w:rPr>
            </w:pPr>
            <w:r w:rsidRPr="0060095D">
              <w:rPr>
                <w:b/>
                <w:color w:val="000000"/>
                <w:lang w:eastAsia="en-GB"/>
              </w:rPr>
              <w:t>3. </w:t>
            </w:r>
            <w:r w:rsidR="00A42AEE" w:rsidRPr="0060095D">
              <w:rPr>
                <w:b/>
              </w:rPr>
              <w:t>K</w:t>
            </w:r>
            <w:r w:rsidRPr="0060095D">
              <w:rPr>
                <w:b/>
              </w:rPr>
              <w:t>omersant</w:t>
            </w:r>
            <w:r w:rsidR="00A42AEE" w:rsidRPr="0060095D">
              <w:rPr>
                <w:b/>
              </w:rPr>
              <w:t>a iesaiste projekta īstenošanā</w:t>
            </w:r>
          </w:p>
          <w:p w14:paraId="1968F229" w14:textId="551792D2" w:rsidR="00A42AEE" w:rsidRPr="00BB2306" w:rsidRDefault="00A309AB" w:rsidP="00BB2306">
            <w:pPr>
              <w:pStyle w:val="ListParagraph"/>
              <w:spacing w:before="60" w:after="60"/>
              <w:ind w:left="101" w:right="102"/>
              <w:jc w:val="both"/>
              <w:rPr>
                <w:sz w:val="24"/>
                <w:szCs w:val="24"/>
              </w:rPr>
            </w:pPr>
            <w:r w:rsidRPr="00BB2306">
              <w:rPr>
                <w:rFonts w:eastAsiaTheme="minorEastAsia"/>
                <w:sz w:val="24"/>
                <w:szCs w:val="24"/>
              </w:rPr>
              <w:t>Vienlaikus</w:t>
            </w:r>
            <w:r w:rsidRPr="00BB2306">
              <w:rPr>
                <w:sz w:val="24"/>
                <w:szCs w:val="24"/>
              </w:rPr>
              <w:t xml:space="preserve"> MK noteikumos saglabātas normas, kas attiecināmas uz </w:t>
            </w:r>
            <w:r w:rsidR="00367474" w:rsidRPr="00BB2306">
              <w:rPr>
                <w:sz w:val="24"/>
                <w:szCs w:val="24"/>
              </w:rPr>
              <w:t xml:space="preserve">projekta iesniedzēju </w:t>
            </w:r>
            <w:r w:rsidR="00965035" w:rsidRPr="00BB2306">
              <w:rPr>
                <w:sz w:val="24"/>
                <w:szCs w:val="24"/>
              </w:rPr>
              <w:t>–</w:t>
            </w:r>
            <w:r w:rsidR="00367474" w:rsidRPr="00BB2306">
              <w:rPr>
                <w:sz w:val="24"/>
                <w:szCs w:val="24"/>
              </w:rPr>
              <w:t xml:space="preserve"> </w:t>
            </w:r>
            <w:r w:rsidRPr="00BB2306">
              <w:rPr>
                <w:sz w:val="24"/>
                <w:szCs w:val="24"/>
              </w:rPr>
              <w:t xml:space="preserve">Latvijas Republikas Komercreģistrā reģistrētu </w:t>
            </w:r>
            <w:r w:rsidR="00367474" w:rsidRPr="00BB2306">
              <w:rPr>
                <w:sz w:val="24"/>
                <w:szCs w:val="24"/>
              </w:rPr>
              <w:t>juridisku personu</w:t>
            </w:r>
            <w:r w:rsidR="008D7148" w:rsidRPr="00BB2306">
              <w:rPr>
                <w:sz w:val="24"/>
                <w:szCs w:val="24"/>
              </w:rPr>
              <w:t xml:space="preserve"> </w:t>
            </w:r>
            <w:r w:rsidR="00367474" w:rsidRPr="00BB2306">
              <w:rPr>
                <w:sz w:val="24"/>
                <w:szCs w:val="24"/>
              </w:rPr>
              <w:t>(</w:t>
            </w:r>
            <w:r w:rsidR="008D7148" w:rsidRPr="00BB2306">
              <w:rPr>
                <w:sz w:val="24"/>
                <w:szCs w:val="24"/>
              </w:rPr>
              <w:t>komersantu</w:t>
            </w:r>
            <w:r w:rsidR="00E96E22" w:rsidRPr="00BB2306">
              <w:rPr>
                <w:sz w:val="24"/>
                <w:szCs w:val="24"/>
              </w:rPr>
              <w:t>)</w:t>
            </w:r>
            <w:r w:rsidR="008D7148" w:rsidRPr="00BB2306">
              <w:rPr>
                <w:sz w:val="24"/>
                <w:szCs w:val="24"/>
              </w:rPr>
              <w:t xml:space="preserve"> </w:t>
            </w:r>
            <w:r w:rsidR="00A42AEE" w:rsidRPr="00BB2306">
              <w:rPr>
                <w:sz w:val="24"/>
                <w:szCs w:val="24"/>
              </w:rPr>
              <w:t>un saistītas ar projekta iesniedzējam izvirzītajām prasībām un uzraudzības rādītājiem</w:t>
            </w:r>
            <w:r w:rsidRPr="00BB2306">
              <w:rPr>
                <w:sz w:val="24"/>
                <w:szCs w:val="24"/>
              </w:rPr>
              <w:t xml:space="preserve"> (noteikumu projekta 1.</w:t>
            </w:r>
            <w:r w:rsidR="00353B28" w:rsidRPr="00BB2306">
              <w:rPr>
                <w:sz w:val="24"/>
                <w:szCs w:val="24"/>
              </w:rPr>
              <w:t xml:space="preserve"> 2., </w:t>
            </w:r>
            <w:r w:rsidR="004C0D3D" w:rsidRPr="00BB2306">
              <w:rPr>
                <w:sz w:val="24"/>
                <w:szCs w:val="24"/>
              </w:rPr>
              <w:t xml:space="preserve">3., 4., </w:t>
            </w:r>
            <w:r w:rsidR="00353B28" w:rsidRPr="00BB2306">
              <w:rPr>
                <w:sz w:val="24"/>
                <w:szCs w:val="24"/>
              </w:rPr>
              <w:t>5.</w:t>
            </w:r>
            <w:r w:rsidRPr="00BB2306">
              <w:rPr>
                <w:sz w:val="24"/>
                <w:szCs w:val="24"/>
              </w:rPr>
              <w:t xml:space="preserve"> un </w:t>
            </w:r>
            <w:r w:rsidR="003735FA" w:rsidRPr="00BB2306">
              <w:rPr>
                <w:sz w:val="24"/>
                <w:szCs w:val="24"/>
              </w:rPr>
              <w:t>1</w:t>
            </w:r>
            <w:r w:rsidR="003735FA">
              <w:rPr>
                <w:sz w:val="24"/>
                <w:szCs w:val="24"/>
              </w:rPr>
              <w:t>7</w:t>
            </w:r>
            <w:r w:rsidRPr="00BB2306">
              <w:rPr>
                <w:sz w:val="24"/>
                <w:szCs w:val="24"/>
              </w:rPr>
              <w:t>. punkts</w:t>
            </w:r>
            <w:r w:rsidR="00353B28" w:rsidRPr="00BB2306">
              <w:rPr>
                <w:sz w:val="24"/>
                <w:szCs w:val="24"/>
              </w:rPr>
              <w:t>)</w:t>
            </w:r>
            <w:r w:rsidR="00A42AEE" w:rsidRPr="00BB2306">
              <w:rPr>
                <w:sz w:val="24"/>
                <w:szCs w:val="24"/>
              </w:rPr>
              <w:t>.</w:t>
            </w:r>
          </w:p>
          <w:p w14:paraId="1968F22A" w14:textId="77777777" w:rsidR="00A434F6" w:rsidRPr="0060095D" w:rsidRDefault="00A42AEE" w:rsidP="00A42AEE">
            <w:pPr>
              <w:spacing w:before="120" w:after="120"/>
              <w:ind w:left="102" w:right="102"/>
              <w:jc w:val="both"/>
              <w:rPr>
                <w:rFonts w:eastAsiaTheme="minorEastAsia"/>
                <w:b/>
              </w:rPr>
            </w:pPr>
            <w:r w:rsidRPr="0060095D">
              <w:rPr>
                <w:rFonts w:eastAsiaTheme="minorEastAsia"/>
                <w:b/>
              </w:rPr>
              <w:t>4. termina "ar saimniecisku darbību saistīts projekts</w:t>
            </w:r>
            <w:r w:rsidR="00F1545E" w:rsidRPr="0060095D">
              <w:rPr>
                <w:rFonts w:eastAsiaTheme="minorEastAsia"/>
                <w:b/>
              </w:rPr>
              <w:t>"</w:t>
            </w:r>
            <w:r w:rsidRPr="0060095D">
              <w:rPr>
                <w:rFonts w:eastAsiaTheme="minorEastAsia"/>
                <w:b/>
              </w:rPr>
              <w:t xml:space="preserve"> aktualizācija</w:t>
            </w:r>
          </w:p>
          <w:p w14:paraId="1968F22B" w14:textId="32165600" w:rsidR="00A760CA" w:rsidRPr="0060095D" w:rsidRDefault="00A42AEE" w:rsidP="00BB2306">
            <w:pPr>
              <w:spacing w:before="120" w:after="120"/>
              <w:ind w:left="102" w:right="102"/>
              <w:jc w:val="both"/>
              <w:rPr>
                <w:rFonts w:eastAsiaTheme="minorEastAsia"/>
              </w:rPr>
            </w:pPr>
            <w:r w:rsidRPr="0060095D">
              <w:rPr>
                <w:rFonts w:eastAsiaTheme="minorEastAsia"/>
              </w:rPr>
              <w:t xml:space="preserve">Ar MK noteikumiem tiek ieviesti Nostādņu 19. punkta </w:t>
            </w:r>
            <w:r w:rsidR="00F1545E" w:rsidRPr="0060095D">
              <w:rPr>
                <w:rFonts w:eastAsiaTheme="minorEastAsia"/>
                <w:b/>
              </w:rPr>
              <w:t>"</w:t>
            </w:r>
            <w:r w:rsidRPr="0060095D">
              <w:rPr>
                <w:rFonts w:eastAsiaTheme="minorEastAsia"/>
              </w:rPr>
              <w:t>a</w:t>
            </w:r>
            <w:r w:rsidR="00F1545E" w:rsidRPr="0060095D">
              <w:rPr>
                <w:rFonts w:eastAsiaTheme="minorEastAsia"/>
                <w:b/>
              </w:rPr>
              <w:t>"</w:t>
            </w:r>
            <w:r w:rsidRPr="0060095D">
              <w:rPr>
                <w:rFonts w:eastAsiaTheme="minorEastAsia"/>
              </w:rPr>
              <w:t xml:space="preserve"> apakšpunkta otrā ievilkuma nosacījumi, ka </w:t>
            </w:r>
            <w:r w:rsidR="00F1545E" w:rsidRPr="0060095D">
              <w:rPr>
                <w:rFonts w:eastAsiaTheme="minorEastAsia"/>
              </w:rPr>
              <w:t xml:space="preserve">viena no pētniecības organizācijas ne-saimnieciska rakstura </w:t>
            </w:r>
            <w:r w:rsidR="00F1545E" w:rsidRPr="0060095D">
              <w:rPr>
                <w:rFonts w:eastAsiaTheme="minorEastAsia"/>
              </w:rPr>
              <w:lastRenderedPageBreak/>
              <w:t>pamatdarbībām ir</w:t>
            </w:r>
            <w:r w:rsidRPr="0060095D">
              <w:rPr>
                <w:rFonts w:eastAsiaTheme="minorEastAsia"/>
              </w:rPr>
              <w:t xml:space="preserve"> </w:t>
            </w:r>
            <w:r w:rsidR="00F1545E" w:rsidRPr="0060095D">
              <w:rPr>
                <w:rFonts w:eastAsiaTheme="minorEastAsia"/>
                <w:b/>
              </w:rPr>
              <w:t>"</w:t>
            </w:r>
            <w:r w:rsidRPr="0060095D">
              <w:rPr>
                <w:rFonts w:eastAsiaTheme="minorEastAsia"/>
                <w:i/>
              </w:rPr>
              <w:t>neatkarīga pētniecība un izstrāde, lai gūtu vairāk zināšanu un labāku izpratni, tostarp kopīga pētniecība un izstrāde, kad pētniecības organizācija vai pētniecības infrastruktūra iesaistās efektīvā sadarbībā</w:t>
            </w:r>
            <w:r w:rsidR="00F1545E" w:rsidRPr="0060095D">
              <w:rPr>
                <w:rFonts w:eastAsiaTheme="minorEastAsia"/>
                <w:b/>
              </w:rPr>
              <w:t xml:space="preserve">". </w:t>
            </w:r>
            <w:r w:rsidR="00F1545E" w:rsidRPr="0060095D">
              <w:rPr>
                <w:rFonts w:eastAsiaTheme="minorEastAsia"/>
              </w:rPr>
              <w:t>Tādējādi saimnieciskās darbības veicējs var iesaistīties efektīvā sadarbībā ar pētniecības organizāciju un īstenot ar saimniecisku darbību nesaistītu projektu. MK noteikumu  2.2.1. apakšpunktā nav viennozīmīgi noteikts, kad saimnieciskās darbības veicējs īsteno ar saimniecisku darbību saistītu projektu.</w:t>
            </w:r>
          </w:p>
          <w:p w14:paraId="1968F22C" w14:textId="1DEDFB25" w:rsidR="00F1545E" w:rsidRPr="0060095D" w:rsidRDefault="00F1545E" w:rsidP="003930D5">
            <w:pPr>
              <w:pStyle w:val="ListParagraph"/>
              <w:spacing w:before="60" w:after="60"/>
              <w:ind w:left="101" w:right="102"/>
              <w:jc w:val="both"/>
              <w:rPr>
                <w:rFonts w:eastAsiaTheme="minorEastAsia"/>
                <w:sz w:val="24"/>
                <w:szCs w:val="24"/>
              </w:rPr>
            </w:pPr>
            <w:r w:rsidRPr="00BB2306">
              <w:rPr>
                <w:rFonts w:eastAsiaTheme="minorEastAsia"/>
                <w:sz w:val="24"/>
                <w:szCs w:val="24"/>
              </w:rPr>
              <w:t xml:space="preserve">Lai viennozīmīgi noteiktu ar saimniecisku darbību saistīta projekta kritērijus, precizēta MK noteikumu 2.2.1. apakšpunkta redakcija, nosakot, ka ar saimniecisku darbību saistītu projektu individuāli īsteno </w:t>
            </w:r>
            <w:r w:rsidR="00F02528" w:rsidRPr="00BB2306">
              <w:rPr>
                <w:rFonts w:eastAsiaTheme="minorEastAsia"/>
                <w:sz w:val="24"/>
                <w:szCs w:val="24"/>
              </w:rPr>
              <w:t>tāda zinātniskā institūcija vai Latvijas Republikas Komercreģistrā reģistrēt</w:t>
            </w:r>
            <w:r w:rsidR="00DA0F7D" w:rsidRPr="00BB2306">
              <w:rPr>
                <w:rFonts w:eastAsiaTheme="minorEastAsia"/>
                <w:sz w:val="24"/>
                <w:szCs w:val="24"/>
              </w:rPr>
              <w:t>a juridiska persona</w:t>
            </w:r>
            <w:r w:rsidR="004C0D3D" w:rsidRPr="00BB2306">
              <w:rPr>
                <w:rFonts w:eastAsiaTheme="minorEastAsia"/>
                <w:sz w:val="24"/>
                <w:szCs w:val="24"/>
              </w:rPr>
              <w:t xml:space="preserve"> </w:t>
            </w:r>
            <w:r w:rsidR="00F02528" w:rsidRPr="00BB2306">
              <w:rPr>
                <w:rFonts w:eastAsiaTheme="minorEastAsia"/>
                <w:sz w:val="24"/>
                <w:szCs w:val="24"/>
              </w:rPr>
              <w:t>(turpmāk – komersants), kas neatbilst pētniecības organizācijas definīcijai (noteikumu projekta 2. punkts).</w:t>
            </w:r>
          </w:p>
          <w:p w14:paraId="1968F22D" w14:textId="77777777" w:rsidR="00D120EE" w:rsidRPr="00BB2306" w:rsidRDefault="00906145" w:rsidP="00F02528">
            <w:pPr>
              <w:pStyle w:val="ListParagraph"/>
              <w:spacing w:before="60" w:after="60"/>
              <w:ind w:left="101" w:right="102"/>
              <w:jc w:val="both"/>
              <w:rPr>
                <w:rFonts w:eastAsiaTheme="minorEastAsia"/>
                <w:sz w:val="24"/>
                <w:szCs w:val="24"/>
              </w:rPr>
            </w:pPr>
            <w:r w:rsidRPr="0060095D">
              <w:rPr>
                <w:rFonts w:eastAsiaTheme="minorEastAsia"/>
                <w:sz w:val="24"/>
                <w:szCs w:val="24"/>
              </w:rPr>
              <w:t>Noteikumu projektā ietvertais regulējums</w:t>
            </w:r>
            <w:r w:rsidR="008C5E4E" w:rsidRPr="0060095D">
              <w:rPr>
                <w:rFonts w:eastAsiaTheme="minorEastAsia"/>
                <w:sz w:val="24"/>
                <w:szCs w:val="24"/>
              </w:rPr>
              <w:t xml:space="preserve"> finansējuma saņēmējiem un projektu iesniedzējiem rada labvēlīgākus projektu </w:t>
            </w:r>
            <w:r w:rsidR="002B5815" w:rsidRPr="0060095D">
              <w:rPr>
                <w:rFonts w:eastAsiaTheme="minorEastAsia"/>
                <w:sz w:val="24"/>
                <w:szCs w:val="24"/>
              </w:rPr>
              <w:t xml:space="preserve">izstrādes un </w:t>
            </w:r>
            <w:r w:rsidR="008C5E4E" w:rsidRPr="00BB2306">
              <w:rPr>
                <w:rFonts w:eastAsiaTheme="minorEastAsia"/>
                <w:sz w:val="24"/>
                <w:szCs w:val="24"/>
              </w:rPr>
              <w:t>īstenošanas nosacījumus, jo</w:t>
            </w:r>
            <w:r w:rsidR="006A2282" w:rsidRPr="00BB2306">
              <w:rPr>
                <w:rFonts w:eastAsiaTheme="minorEastAsia"/>
                <w:sz w:val="24"/>
                <w:szCs w:val="24"/>
              </w:rPr>
              <w:t xml:space="preserve"> noteikumu projekts paredz</w:t>
            </w:r>
            <w:r w:rsidR="00F02528" w:rsidRPr="00BB2306">
              <w:rPr>
                <w:rFonts w:eastAsiaTheme="minorEastAsia"/>
                <w:sz w:val="24"/>
                <w:szCs w:val="24"/>
              </w:rPr>
              <w:t xml:space="preserve"> viennozīmīgi skaidri definēt terminus, sadarbības partnera juridisko statusu, kā arī veidu, kā komersants var iesaistīties pētniecības projekta īstenošanā.</w:t>
            </w:r>
            <w:r w:rsidR="00D120EE" w:rsidRPr="00BB2306">
              <w:rPr>
                <w:rFonts w:eastAsiaTheme="minorEastAsia"/>
                <w:sz w:val="24"/>
                <w:szCs w:val="24"/>
              </w:rPr>
              <w:t xml:space="preserve"> </w:t>
            </w:r>
          </w:p>
          <w:p w14:paraId="1968F22E" w14:textId="77777777" w:rsidR="003D25D7" w:rsidRDefault="00F02528" w:rsidP="00BB2306">
            <w:pPr>
              <w:spacing w:before="120" w:after="120"/>
              <w:ind w:left="102" w:right="102"/>
              <w:jc w:val="both"/>
              <w:rPr>
                <w:rFonts w:eastAsiaTheme="minorEastAsia"/>
              </w:rPr>
            </w:pPr>
            <w:r>
              <w:rPr>
                <w:rFonts w:eastAsiaTheme="minorEastAsia"/>
              </w:rPr>
              <w:t>L</w:t>
            </w:r>
            <w:r w:rsidR="003D25D7" w:rsidRPr="004F3C6B">
              <w:rPr>
                <w:rFonts w:eastAsiaTheme="minorEastAsia"/>
              </w:rPr>
              <w:t xml:space="preserve">īgumos par projekta īstenošanu </w:t>
            </w:r>
            <w:r>
              <w:rPr>
                <w:rFonts w:eastAsiaTheme="minorEastAsia"/>
              </w:rPr>
              <w:t xml:space="preserve">nav </w:t>
            </w:r>
            <w:r w:rsidR="003D25D7" w:rsidRPr="004F3C6B">
              <w:rPr>
                <w:rFonts w:eastAsiaTheme="minorEastAsia"/>
              </w:rPr>
              <w:t>nepieciešams veikt grozījumus.</w:t>
            </w:r>
          </w:p>
          <w:p w14:paraId="1968F22F" w14:textId="77777777" w:rsidR="0060095D" w:rsidRPr="00BB2306" w:rsidRDefault="0060095D" w:rsidP="00BB2306">
            <w:pPr>
              <w:pStyle w:val="ListParagraph"/>
              <w:spacing w:before="240" w:after="240"/>
              <w:ind w:left="102" w:right="102"/>
              <w:jc w:val="both"/>
              <w:rPr>
                <w:rFonts w:eastAsiaTheme="minorEastAsia"/>
                <w:b/>
              </w:rPr>
            </w:pPr>
            <w:r w:rsidRPr="00BB2306">
              <w:rPr>
                <w:rFonts w:eastAsiaTheme="minorEastAsia"/>
                <w:b/>
              </w:rPr>
              <w:t>III. ERAF finansējuma sadalījums pa teritorijām</w:t>
            </w:r>
          </w:p>
          <w:p w14:paraId="1968F230" w14:textId="77777777" w:rsidR="00C03658" w:rsidRPr="0060095D" w:rsidRDefault="00C03658" w:rsidP="00BB2306">
            <w:pPr>
              <w:spacing w:before="120" w:after="120"/>
              <w:ind w:left="102" w:right="102"/>
              <w:jc w:val="both"/>
              <w:rPr>
                <w:rFonts w:eastAsiaTheme="minorEastAsia"/>
              </w:rPr>
            </w:pPr>
            <w:r w:rsidRPr="0060095D">
              <w:rPr>
                <w:rFonts w:eastAsiaTheme="minorEastAsia"/>
              </w:rPr>
              <w:t xml:space="preserve">Ņemot vērā aktualizēto publiskā finansējuma sadalījumu pa 1.1.1.1. pasākuma projektu iesniegumu atlases kārtām, precizēts indikatīvais </w:t>
            </w:r>
            <w:r w:rsidRPr="00BB2306">
              <w:rPr>
                <w:bCs/>
              </w:rPr>
              <w:t>ERAF finansējuma sadalījums pa teritorijām (skat. anotācijas pielikuma 4. tabulu „ERAF finansējuma sadalījuma pa teritorijām 1.1.1.1. pasākuma. ietvaros aprēķini”:</w:t>
            </w:r>
          </w:p>
          <w:tbl>
            <w:tblPr>
              <w:tblW w:w="0" w:type="auto"/>
              <w:tblLook w:val="04A0" w:firstRow="1" w:lastRow="0" w:firstColumn="1" w:lastColumn="0" w:noHBand="0" w:noVBand="1"/>
            </w:tblPr>
            <w:tblGrid>
              <w:gridCol w:w="1209"/>
              <w:gridCol w:w="1651"/>
              <w:gridCol w:w="1651"/>
              <w:gridCol w:w="1586"/>
            </w:tblGrid>
            <w:tr w:rsidR="00C03658" w:rsidRPr="00C03658" w14:paraId="1968F233" w14:textId="77777777" w:rsidTr="00C03658">
              <w:trPr>
                <w:trHeight w:val="900"/>
              </w:trPr>
              <w:tc>
                <w:tcPr>
                  <w:tcW w:w="0" w:type="auto"/>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14:paraId="1968F231" w14:textId="77777777" w:rsidR="00C03658" w:rsidRPr="00C03658" w:rsidRDefault="00C03658" w:rsidP="00C03658">
                  <w:pPr>
                    <w:jc w:val="center"/>
                    <w:rPr>
                      <w:b/>
                      <w:bCs/>
                      <w:color w:val="000000"/>
                      <w:sz w:val="20"/>
                      <w:szCs w:val="20"/>
                    </w:rPr>
                  </w:pPr>
                  <w:r w:rsidRPr="00C03658">
                    <w:rPr>
                      <w:b/>
                      <w:bCs/>
                      <w:color w:val="000000"/>
                      <w:sz w:val="20"/>
                      <w:szCs w:val="20"/>
                    </w:rPr>
                    <w:t>1.1.1.1. pasākums</w:t>
                  </w:r>
                </w:p>
              </w:tc>
              <w:tc>
                <w:tcPr>
                  <w:tcW w:w="0" w:type="auto"/>
                  <w:gridSpan w:val="3"/>
                  <w:tcBorders>
                    <w:top w:val="single" w:sz="4" w:space="0" w:color="auto"/>
                    <w:left w:val="nil"/>
                    <w:bottom w:val="single" w:sz="4" w:space="0" w:color="auto"/>
                    <w:right w:val="single" w:sz="4" w:space="0" w:color="000000"/>
                  </w:tcBorders>
                  <w:shd w:val="clear" w:color="000000" w:fill="FFFFFF"/>
                  <w:vAlign w:val="center"/>
                  <w:hideMark/>
                </w:tcPr>
                <w:p w14:paraId="1968F232" w14:textId="77777777" w:rsidR="00C03658" w:rsidRPr="00C03658" w:rsidRDefault="00C03658" w:rsidP="00C03658">
                  <w:pPr>
                    <w:jc w:val="center"/>
                    <w:rPr>
                      <w:b/>
                      <w:bCs/>
                      <w:color w:val="000000"/>
                      <w:sz w:val="20"/>
                      <w:szCs w:val="20"/>
                    </w:rPr>
                  </w:pPr>
                  <w:r w:rsidRPr="00C03658">
                    <w:rPr>
                      <w:b/>
                      <w:bCs/>
                      <w:color w:val="000000"/>
                      <w:sz w:val="20"/>
                      <w:szCs w:val="20"/>
                    </w:rPr>
                    <w:t>Indikatīvais ERAF finansējuma sadalījums pa teritorijām, ievērojot SAM 1.1.1. pasākumu ietvaros plānotās ERAF pārdales</w:t>
                  </w:r>
                </w:p>
              </w:tc>
            </w:tr>
            <w:tr w:rsidR="00C03658" w:rsidRPr="00C03658" w14:paraId="1968F238" w14:textId="77777777" w:rsidTr="00C03658">
              <w:trPr>
                <w:trHeight w:val="411"/>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968F234" w14:textId="77777777" w:rsidR="00C03658" w:rsidRPr="00C03658" w:rsidRDefault="00C03658" w:rsidP="00C03658">
                  <w:pPr>
                    <w:rPr>
                      <w:b/>
                      <w:bCs/>
                      <w:color w:val="000000"/>
                      <w:sz w:val="20"/>
                      <w:szCs w:val="20"/>
                    </w:rPr>
                  </w:pP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68F235" w14:textId="77777777" w:rsidR="00C03658" w:rsidRPr="00C03658" w:rsidRDefault="00C03658" w:rsidP="00C03658">
                  <w:pPr>
                    <w:jc w:val="center"/>
                    <w:rPr>
                      <w:color w:val="000000"/>
                      <w:sz w:val="20"/>
                      <w:szCs w:val="20"/>
                    </w:rPr>
                  </w:pPr>
                  <w:r w:rsidRPr="00C03658">
                    <w:rPr>
                      <w:color w:val="000000"/>
                      <w:sz w:val="20"/>
                      <w:szCs w:val="20"/>
                    </w:rPr>
                    <w:t>Kopā</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68F236" w14:textId="77777777" w:rsidR="00C03658" w:rsidRPr="00C03658" w:rsidRDefault="00C03658" w:rsidP="00C03658">
                  <w:pPr>
                    <w:jc w:val="center"/>
                    <w:rPr>
                      <w:color w:val="000000"/>
                      <w:sz w:val="20"/>
                      <w:szCs w:val="20"/>
                    </w:rPr>
                  </w:pPr>
                  <w:r w:rsidRPr="00C03658">
                    <w:rPr>
                      <w:color w:val="000000"/>
                      <w:sz w:val="20"/>
                      <w:szCs w:val="20"/>
                    </w:rPr>
                    <w:t>Teritorija1</w:t>
                  </w:r>
                </w:p>
              </w:tc>
              <w:tc>
                <w:tcPr>
                  <w:tcW w:w="0" w:type="auto"/>
                  <w:tcBorders>
                    <w:top w:val="single" w:sz="4" w:space="0" w:color="auto"/>
                    <w:left w:val="nil"/>
                    <w:bottom w:val="single" w:sz="4" w:space="0" w:color="auto"/>
                    <w:right w:val="single" w:sz="4" w:space="0" w:color="auto"/>
                  </w:tcBorders>
                  <w:shd w:val="clear" w:color="000000" w:fill="FFFFFF"/>
                  <w:vAlign w:val="center"/>
                  <w:hideMark/>
                </w:tcPr>
                <w:p w14:paraId="1968F237" w14:textId="77777777" w:rsidR="00C03658" w:rsidRPr="00C03658" w:rsidRDefault="00C03658" w:rsidP="00C03658">
                  <w:pPr>
                    <w:jc w:val="center"/>
                    <w:rPr>
                      <w:color w:val="000000"/>
                      <w:sz w:val="20"/>
                      <w:szCs w:val="20"/>
                    </w:rPr>
                  </w:pPr>
                  <w:r w:rsidRPr="00C03658">
                    <w:rPr>
                      <w:color w:val="000000"/>
                      <w:sz w:val="20"/>
                      <w:szCs w:val="20"/>
                    </w:rPr>
                    <w:t>Teritorija2</w:t>
                  </w:r>
                </w:p>
              </w:tc>
            </w:tr>
            <w:tr w:rsidR="0060095D" w:rsidRPr="00C03658" w14:paraId="1968F23D" w14:textId="77777777" w:rsidTr="00BB2306">
              <w:trPr>
                <w:trHeight w:val="275"/>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968F239" w14:textId="77777777" w:rsidR="0060095D" w:rsidRPr="00C03658" w:rsidRDefault="0060095D" w:rsidP="0060095D">
                  <w:pPr>
                    <w:rPr>
                      <w:color w:val="000000"/>
                      <w:sz w:val="20"/>
                      <w:szCs w:val="20"/>
                    </w:rPr>
                  </w:pPr>
                  <w:r w:rsidRPr="00C03658">
                    <w:rPr>
                      <w:color w:val="000000"/>
                      <w:sz w:val="20"/>
                      <w:szCs w:val="20"/>
                    </w:rPr>
                    <w:t>1. kārta</w:t>
                  </w:r>
                </w:p>
              </w:tc>
              <w:tc>
                <w:tcPr>
                  <w:tcW w:w="0" w:type="auto"/>
                  <w:tcBorders>
                    <w:top w:val="nil"/>
                    <w:left w:val="nil"/>
                    <w:bottom w:val="single" w:sz="4" w:space="0" w:color="auto"/>
                    <w:right w:val="single" w:sz="4" w:space="0" w:color="auto"/>
                  </w:tcBorders>
                  <w:shd w:val="clear" w:color="000000" w:fill="FFFFFF"/>
                  <w:noWrap/>
                  <w:hideMark/>
                </w:tcPr>
                <w:p w14:paraId="1968F23A" w14:textId="77777777" w:rsidR="0060095D" w:rsidRPr="0060095D" w:rsidRDefault="0060095D" w:rsidP="0060095D">
                  <w:pPr>
                    <w:jc w:val="right"/>
                    <w:rPr>
                      <w:color w:val="000000"/>
                      <w:sz w:val="20"/>
                      <w:szCs w:val="20"/>
                    </w:rPr>
                  </w:pPr>
                  <w:r w:rsidRPr="00BB2306">
                    <w:rPr>
                      <w:sz w:val="20"/>
                      <w:szCs w:val="20"/>
                    </w:rPr>
                    <w:t>36 360 062</w:t>
                  </w:r>
                </w:p>
              </w:tc>
              <w:tc>
                <w:tcPr>
                  <w:tcW w:w="0" w:type="auto"/>
                  <w:tcBorders>
                    <w:top w:val="nil"/>
                    <w:left w:val="nil"/>
                    <w:bottom w:val="single" w:sz="4" w:space="0" w:color="auto"/>
                    <w:right w:val="single" w:sz="4" w:space="0" w:color="auto"/>
                  </w:tcBorders>
                  <w:shd w:val="clear" w:color="000000" w:fill="FFFFFF"/>
                  <w:noWrap/>
                  <w:hideMark/>
                </w:tcPr>
                <w:p w14:paraId="1968F23B" w14:textId="77777777" w:rsidR="0060095D" w:rsidRPr="0060095D" w:rsidRDefault="0060095D" w:rsidP="0060095D">
                  <w:pPr>
                    <w:jc w:val="right"/>
                    <w:rPr>
                      <w:b/>
                      <w:bCs/>
                      <w:color w:val="000000"/>
                      <w:sz w:val="20"/>
                      <w:szCs w:val="20"/>
                    </w:rPr>
                  </w:pPr>
                  <w:r w:rsidRPr="00BB2306">
                    <w:rPr>
                      <w:sz w:val="20"/>
                      <w:szCs w:val="20"/>
                    </w:rPr>
                    <w:t>32 658 608</w:t>
                  </w:r>
                </w:p>
              </w:tc>
              <w:tc>
                <w:tcPr>
                  <w:tcW w:w="0" w:type="auto"/>
                  <w:tcBorders>
                    <w:top w:val="nil"/>
                    <w:left w:val="nil"/>
                    <w:bottom w:val="single" w:sz="4" w:space="0" w:color="auto"/>
                    <w:right w:val="single" w:sz="4" w:space="0" w:color="auto"/>
                  </w:tcBorders>
                  <w:shd w:val="clear" w:color="000000" w:fill="FFFFFF"/>
                  <w:noWrap/>
                  <w:hideMark/>
                </w:tcPr>
                <w:p w14:paraId="1968F23C" w14:textId="77777777" w:rsidR="0060095D" w:rsidRPr="0060095D" w:rsidRDefault="0060095D" w:rsidP="0060095D">
                  <w:pPr>
                    <w:jc w:val="right"/>
                    <w:rPr>
                      <w:b/>
                      <w:bCs/>
                      <w:color w:val="000000"/>
                      <w:sz w:val="20"/>
                      <w:szCs w:val="20"/>
                    </w:rPr>
                  </w:pPr>
                  <w:r w:rsidRPr="00BB2306">
                    <w:rPr>
                      <w:sz w:val="20"/>
                      <w:szCs w:val="20"/>
                    </w:rPr>
                    <w:t>3 701 454</w:t>
                  </w:r>
                </w:p>
              </w:tc>
            </w:tr>
            <w:tr w:rsidR="0060095D" w:rsidRPr="00C03658" w14:paraId="1968F242" w14:textId="77777777" w:rsidTr="00BB2306">
              <w:trPr>
                <w:trHeight w:val="27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968F23E" w14:textId="77777777" w:rsidR="0060095D" w:rsidRPr="00C03658" w:rsidRDefault="0060095D" w:rsidP="0060095D">
                  <w:pPr>
                    <w:rPr>
                      <w:color w:val="000000"/>
                      <w:sz w:val="20"/>
                      <w:szCs w:val="20"/>
                    </w:rPr>
                  </w:pPr>
                  <w:r w:rsidRPr="00C03658">
                    <w:rPr>
                      <w:color w:val="000000"/>
                      <w:sz w:val="20"/>
                      <w:szCs w:val="20"/>
                    </w:rPr>
                    <w:t>2. kārta</w:t>
                  </w:r>
                </w:p>
              </w:tc>
              <w:tc>
                <w:tcPr>
                  <w:tcW w:w="0" w:type="auto"/>
                  <w:tcBorders>
                    <w:top w:val="nil"/>
                    <w:left w:val="nil"/>
                    <w:bottom w:val="single" w:sz="4" w:space="0" w:color="auto"/>
                    <w:right w:val="single" w:sz="4" w:space="0" w:color="auto"/>
                  </w:tcBorders>
                  <w:shd w:val="clear" w:color="000000" w:fill="FFFFFF"/>
                  <w:noWrap/>
                  <w:hideMark/>
                </w:tcPr>
                <w:p w14:paraId="1968F23F" w14:textId="77777777" w:rsidR="0060095D" w:rsidRPr="0060095D" w:rsidRDefault="0060095D" w:rsidP="0060095D">
                  <w:pPr>
                    <w:jc w:val="right"/>
                    <w:rPr>
                      <w:color w:val="000000"/>
                      <w:sz w:val="20"/>
                      <w:szCs w:val="20"/>
                    </w:rPr>
                  </w:pPr>
                  <w:r w:rsidRPr="00BB2306">
                    <w:rPr>
                      <w:sz w:val="20"/>
                      <w:szCs w:val="20"/>
                    </w:rPr>
                    <w:t>17 222 080</w:t>
                  </w:r>
                </w:p>
              </w:tc>
              <w:tc>
                <w:tcPr>
                  <w:tcW w:w="0" w:type="auto"/>
                  <w:tcBorders>
                    <w:top w:val="nil"/>
                    <w:left w:val="nil"/>
                    <w:bottom w:val="single" w:sz="4" w:space="0" w:color="auto"/>
                    <w:right w:val="single" w:sz="4" w:space="0" w:color="auto"/>
                  </w:tcBorders>
                  <w:shd w:val="clear" w:color="000000" w:fill="FFFFFF"/>
                  <w:noWrap/>
                  <w:hideMark/>
                </w:tcPr>
                <w:p w14:paraId="1968F240" w14:textId="77777777" w:rsidR="0060095D" w:rsidRPr="0060095D" w:rsidRDefault="0060095D" w:rsidP="0060095D">
                  <w:pPr>
                    <w:jc w:val="right"/>
                    <w:rPr>
                      <w:b/>
                      <w:bCs/>
                      <w:color w:val="000000"/>
                      <w:sz w:val="20"/>
                      <w:szCs w:val="20"/>
                    </w:rPr>
                  </w:pPr>
                  <w:r w:rsidRPr="00BB2306">
                    <w:rPr>
                      <w:sz w:val="20"/>
                      <w:szCs w:val="20"/>
                    </w:rPr>
                    <w:t>13 522 777</w:t>
                  </w:r>
                </w:p>
              </w:tc>
              <w:tc>
                <w:tcPr>
                  <w:tcW w:w="0" w:type="auto"/>
                  <w:tcBorders>
                    <w:top w:val="nil"/>
                    <w:left w:val="nil"/>
                    <w:bottom w:val="single" w:sz="4" w:space="0" w:color="auto"/>
                    <w:right w:val="single" w:sz="4" w:space="0" w:color="auto"/>
                  </w:tcBorders>
                  <w:shd w:val="clear" w:color="000000" w:fill="FFFFFF"/>
                  <w:noWrap/>
                  <w:hideMark/>
                </w:tcPr>
                <w:p w14:paraId="1968F241" w14:textId="77777777" w:rsidR="0060095D" w:rsidRPr="0060095D" w:rsidRDefault="0060095D" w:rsidP="0060095D">
                  <w:pPr>
                    <w:jc w:val="right"/>
                    <w:rPr>
                      <w:b/>
                      <w:bCs/>
                      <w:color w:val="000000"/>
                      <w:sz w:val="20"/>
                      <w:szCs w:val="20"/>
                    </w:rPr>
                  </w:pPr>
                  <w:r w:rsidRPr="00BB2306">
                    <w:rPr>
                      <w:sz w:val="20"/>
                      <w:szCs w:val="20"/>
                    </w:rPr>
                    <w:t>3 699 303</w:t>
                  </w:r>
                </w:p>
              </w:tc>
            </w:tr>
            <w:tr w:rsidR="0060095D" w:rsidRPr="00C03658" w14:paraId="1968F247" w14:textId="77777777" w:rsidTr="00BB2306">
              <w:trPr>
                <w:trHeight w:val="269"/>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968F243" w14:textId="77777777" w:rsidR="0060095D" w:rsidRPr="00C03658" w:rsidRDefault="0060095D" w:rsidP="0060095D">
                  <w:pPr>
                    <w:rPr>
                      <w:color w:val="000000"/>
                      <w:sz w:val="20"/>
                      <w:szCs w:val="20"/>
                    </w:rPr>
                  </w:pPr>
                  <w:r w:rsidRPr="00C03658">
                    <w:rPr>
                      <w:color w:val="000000"/>
                      <w:sz w:val="20"/>
                      <w:szCs w:val="20"/>
                    </w:rPr>
                    <w:t>3. kārta</w:t>
                  </w:r>
                </w:p>
              </w:tc>
              <w:tc>
                <w:tcPr>
                  <w:tcW w:w="0" w:type="auto"/>
                  <w:tcBorders>
                    <w:top w:val="nil"/>
                    <w:left w:val="nil"/>
                    <w:bottom w:val="single" w:sz="4" w:space="0" w:color="auto"/>
                    <w:right w:val="single" w:sz="4" w:space="0" w:color="auto"/>
                  </w:tcBorders>
                  <w:shd w:val="clear" w:color="000000" w:fill="FFFFFF"/>
                  <w:noWrap/>
                  <w:hideMark/>
                </w:tcPr>
                <w:p w14:paraId="1968F244" w14:textId="77777777" w:rsidR="0060095D" w:rsidRPr="0060095D" w:rsidRDefault="0060095D" w:rsidP="0060095D">
                  <w:pPr>
                    <w:jc w:val="right"/>
                    <w:rPr>
                      <w:color w:val="000000"/>
                      <w:sz w:val="20"/>
                      <w:szCs w:val="20"/>
                    </w:rPr>
                  </w:pPr>
                  <w:r w:rsidRPr="00BB2306">
                    <w:rPr>
                      <w:sz w:val="20"/>
                      <w:szCs w:val="20"/>
                    </w:rPr>
                    <w:t>15 354 663</w:t>
                  </w:r>
                </w:p>
              </w:tc>
              <w:tc>
                <w:tcPr>
                  <w:tcW w:w="0" w:type="auto"/>
                  <w:tcBorders>
                    <w:top w:val="nil"/>
                    <w:left w:val="nil"/>
                    <w:bottom w:val="single" w:sz="4" w:space="0" w:color="auto"/>
                    <w:right w:val="single" w:sz="4" w:space="0" w:color="auto"/>
                  </w:tcBorders>
                  <w:shd w:val="clear" w:color="000000" w:fill="FFFFFF"/>
                  <w:noWrap/>
                  <w:hideMark/>
                </w:tcPr>
                <w:p w14:paraId="1968F245" w14:textId="77777777" w:rsidR="0060095D" w:rsidRPr="0060095D" w:rsidRDefault="0060095D" w:rsidP="0060095D">
                  <w:pPr>
                    <w:jc w:val="right"/>
                    <w:rPr>
                      <w:b/>
                      <w:bCs/>
                      <w:color w:val="000000"/>
                      <w:sz w:val="20"/>
                      <w:szCs w:val="20"/>
                    </w:rPr>
                  </w:pPr>
                  <w:r w:rsidRPr="00BB2306">
                    <w:rPr>
                      <w:sz w:val="20"/>
                      <w:szCs w:val="20"/>
                    </w:rPr>
                    <w:t>11 813 878</w:t>
                  </w:r>
                </w:p>
              </w:tc>
              <w:tc>
                <w:tcPr>
                  <w:tcW w:w="0" w:type="auto"/>
                  <w:tcBorders>
                    <w:top w:val="nil"/>
                    <w:left w:val="nil"/>
                    <w:bottom w:val="single" w:sz="4" w:space="0" w:color="auto"/>
                    <w:right w:val="single" w:sz="4" w:space="0" w:color="auto"/>
                  </w:tcBorders>
                  <w:shd w:val="clear" w:color="000000" w:fill="FFFFFF"/>
                  <w:noWrap/>
                  <w:hideMark/>
                </w:tcPr>
                <w:p w14:paraId="1968F246" w14:textId="77777777" w:rsidR="0060095D" w:rsidRPr="0060095D" w:rsidRDefault="0060095D" w:rsidP="0060095D">
                  <w:pPr>
                    <w:jc w:val="right"/>
                    <w:rPr>
                      <w:b/>
                      <w:bCs/>
                      <w:color w:val="000000"/>
                      <w:sz w:val="20"/>
                      <w:szCs w:val="20"/>
                    </w:rPr>
                  </w:pPr>
                  <w:r w:rsidRPr="00BB2306">
                    <w:rPr>
                      <w:sz w:val="20"/>
                      <w:szCs w:val="20"/>
                    </w:rPr>
                    <w:t>3 540 785</w:t>
                  </w:r>
                </w:p>
              </w:tc>
            </w:tr>
            <w:tr w:rsidR="0060095D" w:rsidRPr="00C03658" w14:paraId="1968F24C" w14:textId="77777777" w:rsidTr="00BB2306">
              <w:trPr>
                <w:trHeight w:val="274"/>
              </w:trPr>
              <w:tc>
                <w:tcPr>
                  <w:tcW w:w="0" w:type="auto"/>
                  <w:tcBorders>
                    <w:top w:val="nil"/>
                    <w:left w:val="single" w:sz="4" w:space="0" w:color="auto"/>
                    <w:bottom w:val="single" w:sz="4" w:space="0" w:color="auto"/>
                    <w:right w:val="single" w:sz="4" w:space="0" w:color="auto"/>
                  </w:tcBorders>
                  <w:shd w:val="clear" w:color="000000" w:fill="FFFFFF"/>
                  <w:noWrap/>
                  <w:vAlign w:val="bottom"/>
                  <w:hideMark/>
                </w:tcPr>
                <w:p w14:paraId="1968F248" w14:textId="77777777" w:rsidR="0060095D" w:rsidRPr="00C03658" w:rsidRDefault="0060095D" w:rsidP="0060095D">
                  <w:pPr>
                    <w:rPr>
                      <w:color w:val="000000"/>
                      <w:sz w:val="20"/>
                      <w:szCs w:val="20"/>
                    </w:rPr>
                  </w:pPr>
                  <w:r w:rsidRPr="00C03658">
                    <w:rPr>
                      <w:color w:val="000000"/>
                      <w:sz w:val="20"/>
                      <w:szCs w:val="20"/>
                    </w:rPr>
                    <w:t>4. kārta</w:t>
                  </w:r>
                </w:p>
              </w:tc>
              <w:tc>
                <w:tcPr>
                  <w:tcW w:w="0" w:type="auto"/>
                  <w:tcBorders>
                    <w:top w:val="nil"/>
                    <w:left w:val="nil"/>
                    <w:bottom w:val="single" w:sz="4" w:space="0" w:color="auto"/>
                    <w:right w:val="single" w:sz="4" w:space="0" w:color="auto"/>
                  </w:tcBorders>
                  <w:shd w:val="clear" w:color="000000" w:fill="FFFFFF"/>
                  <w:noWrap/>
                  <w:hideMark/>
                </w:tcPr>
                <w:p w14:paraId="1968F249" w14:textId="77777777" w:rsidR="0060095D" w:rsidRPr="0060095D" w:rsidRDefault="0060095D" w:rsidP="0060095D">
                  <w:pPr>
                    <w:jc w:val="right"/>
                    <w:rPr>
                      <w:color w:val="000000"/>
                      <w:sz w:val="20"/>
                      <w:szCs w:val="20"/>
                    </w:rPr>
                  </w:pPr>
                  <w:r w:rsidRPr="00BB2306">
                    <w:rPr>
                      <w:sz w:val="20"/>
                      <w:szCs w:val="20"/>
                    </w:rPr>
                    <w:t>21 025 831</w:t>
                  </w:r>
                </w:p>
              </w:tc>
              <w:tc>
                <w:tcPr>
                  <w:tcW w:w="0" w:type="auto"/>
                  <w:tcBorders>
                    <w:top w:val="nil"/>
                    <w:left w:val="nil"/>
                    <w:bottom w:val="single" w:sz="4" w:space="0" w:color="auto"/>
                    <w:right w:val="single" w:sz="4" w:space="0" w:color="auto"/>
                  </w:tcBorders>
                  <w:shd w:val="clear" w:color="000000" w:fill="FFFFFF"/>
                  <w:noWrap/>
                  <w:hideMark/>
                </w:tcPr>
                <w:p w14:paraId="1968F24A" w14:textId="77777777" w:rsidR="0060095D" w:rsidRPr="0060095D" w:rsidRDefault="0060095D" w:rsidP="0060095D">
                  <w:pPr>
                    <w:jc w:val="right"/>
                    <w:rPr>
                      <w:b/>
                      <w:bCs/>
                      <w:color w:val="000000"/>
                      <w:sz w:val="20"/>
                      <w:szCs w:val="20"/>
                    </w:rPr>
                  </w:pPr>
                  <w:r w:rsidRPr="00BB2306">
                    <w:rPr>
                      <w:sz w:val="20"/>
                      <w:szCs w:val="20"/>
                    </w:rPr>
                    <w:t>17 689 032</w:t>
                  </w:r>
                </w:p>
              </w:tc>
              <w:tc>
                <w:tcPr>
                  <w:tcW w:w="0" w:type="auto"/>
                  <w:tcBorders>
                    <w:top w:val="nil"/>
                    <w:left w:val="nil"/>
                    <w:bottom w:val="single" w:sz="4" w:space="0" w:color="auto"/>
                    <w:right w:val="single" w:sz="4" w:space="0" w:color="auto"/>
                  </w:tcBorders>
                  <w:shd w:val="clear" w:color="000000" w:fill="FFFFFF"/>
                  <w:noWrap/>
                  <w:hideMark/>
                </w:tcPr>
                <w:p w14:paraId="1968F24B" w14:textId="77777777" w:rsidR="0060095D" w:rsidRPr="0060095D" w:rsidRDefault="0060095D" w:rsidP="0060095D">
                  <w:pPr>
                    <w:jc w:val="right"/>
                    <w:rPr>
                      <w:b/>
                      <w:bCs/>
                      <w:color w:val="000000"/>
                      <w:sz w:val="20"/>
                      <w:szCs w:val="20"/>
                    </w:rPr>
                  </w:pPr>
                  <w:r w:rsidRPr="00BB2306">
                    <w:rPr>
                      <w:sz w:val="20"/>
                      <w:szCs w:val="20"/>
                    </w:rPr>
                    <w:t>3 336 799</w:t>
                  </w:r>
                </w:p>
              </w:tc>
            </w:tr>
            <w:tr w:rsidR="0060095D" w:rsidRPr="00C03658" w14:paraId="1968F251" w14:textId="77777777" w:rsidTr="00BB2306">
              <w:trPr>
                <w:trHeight w:val="277"/>
              </w:trPr>
              <w:tc>
                <w:tcPr>
                  <w:tcW w:w="0" w:type="auto"/>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968F24D" w14:textId="77777777" w:rsidR="0060095D" w:rsidRPr="00C03658" w:rsidRDefault="0060095D" w:rsidP="0060095D">
                  <w:pPr>
                    <w:rPr>
                      <w:color w:val="000000"/>
                      <w:sz w:val="20"/>
                      <w:szCs w:val="20"/>
                    </w:rPr>
                  </w:pPr>
                  <w:r>
                    <w:rPr>
                      <w:color w:val="000000"/>
                      <w:sz w:val="20"/>
                      <w:szCs w:val="20"/>
                    </w:rPr>
                    <w:t>5</w:t>
                  </w:r>
                  <w:r w:rsidRPr="00C03658">
                    <w:rPr>
                      <w:color w:val="000000"/>
                      <w:sz w:val="20"/>
                      <w:szCs w:val="20"/>
                    </w:rPr>
                    <w:t>. kārta</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968F24E" w14:textId="77777777" w:rsidR="0060095D" w:rsidRPr="0060095D" w:rsidRDefault="0060095D" w:rsidP="0060095D">
                  <w:pPr>
                    <w:jc w:val="right"/>
                    <w:rPr>
                      <w:color w:val="000000"/>
                      <w:sz w:val="20"/>
                      <w:szCs w:val="20"/>
                    </w:rPr>
                  </w:pPr>
                  <w:r w:rsidRPr="00BB2306">
                    <w:rPr>
                      <w:sz w:val="20"/>
                      <w:szCs w:val="20"/>
                    </w:rPr>
                    <w:t>4 250 000</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968F24F" w14:textId="77777777" w:rsidR="0060095D" w:rsidRPr="0060095D" w:rsidRDefault="0060095D" w:rsidP="0060095D">
                  <w:pPr>
                    <w:jc w:val="right"/>
                    <w:rPr>
                      <w:b/>
                      <w:bCs/>
                      <w:color w:val="000000"/>
                      <w:sz w:val="20"/>
                      <w:szCs w:val="20"/>
                    </w:rPr>
                  </w:pPr>
                  <w:r w:rsidRPr="00BB2306">
                    <w:rPr>
                      <w:sz w:val="20"/>
                      <w:szCs w:val="20"/>
                    </w:rPr>
                    <w:t>3 575 525</w:t>
                  </w:r>
                </w:p>
              </w:tc>
              <w:tc>
                <w:tcPr>
                  <w:tcW w:w="0" w:type="auto"/>
                  <w:tcBorders>
                    <w:top w:val="single" w:sz="4" w:space="0" w:color="auto"/>
                    <w:left w:val="nil"/>
                    <w:bottom w:val="single" w:sz="4" w:space="0" w:color="auto"/>
                    <w:right w:val="single" w:sz="4" w:space="0" w:color="auto"/>
                  </w:tcBorders>
                  <w:shd w:val="clear" w:color="000000" w:fill="FFFFFF"/>
                  <w:noWrap/>
                  <w:hideMark/>
                </w:tcPr>
                <w:p w14:paraId="1968F250" w14:textId="77777777" w:rsidR="0060095D" w:rsidRPr="0060095D" w:rsidRDefault="0060095D" w:rsidP="0060095D">
                  <w:pPr>
                    <w:jc w:val="right"/>
                    <w:rPr>
                      <w:b/>
                      <w:bCs/>
                      <w:color w:val="000000"/>
                      <w:sz w:val="20"/>
                      <w:szCs w:val="20"/>
                    </w:rPr>
                  </w:pPr>
                  <w:r w:rsidRPr="00BB2306">
                    <w:rPr>
                      <w:sz w:val="20"/>
                      <w:szCs w:val="20"/>
                    </w:rPr>
                    <w:t>674 475</w:t>
                  </w:r>
                </w:p>
              </w:tc>
            </w:tr>
          </w:tbl>
          <w:p w14:paraId="1968F252" w14:textId="77777777" w:rsidR="00C03658" w:rsidRPr="004F3C6B" w:rsidRDefault="00C03658" w:rsidP="00F02528">
            <w:pPr>
              <w:pStyle w:val="Default"/>
              <w:jc w:val="both"/>
              <w:rPr>
                <w:rFonts w:eastAsiaTheme="minorEastAsia"/>
                <w:color w:val="auto"/>
              </w:rPr>
            </w:pPr>
          </w:p>
        </w:tc>
      </w:tr>
      <w:tr w:rsidR="00600B68" w:rsidRPr="00600B68" w14:paraId="1968F257" w14:textId="77777777" w:rsidTr="008B1C36">
        <w:tc>
          <w:tcPr>
            <w:tcW w:w="435" w:type="pct"/>
            <w:tcBorders>
              <w:top w:val="single" w:sz="4" w:space="0" w:color="auto"/>
              <w:left w:val="single" w:sz="4" w:space="0" w:color="auto"/>
              <w:bottom w:val="single" w:sz="4" w:space="0" w:color="auto"/>
              <w:right w:val="single" w:sz="4" w:space="0" w:color="auto"/>
            </w:tcBorders>
            <w:shd w:val="clear" w:color="auto" w:fill="auto"/>
          </w:tcPr>
          <w:p w14:paraId="1968F254" w14:textId="77777777" w:rsidR="00055596" w:rsidRPr="00600B68" w:rsidRDefault="00B650B7" w:rsidP="001351FC">
            <w:pPr>
              <w:jc w:val="center"/>
              <w:rPr>
                <w:lang w:eastAsia="en-US"/>
              </w:rPr>
            </w:pPr>
            <w:r w:rsidRPr="00600B68">
              <w:lastRenderedPageBreak/>
              <w:t>3.</w:t>
            </w:r>
          </w:p>
        </w:tc>
        <w:tc>
          <w:tcPr>
            <w:tcW w:w="1075" w:type="pct"/>
            <w:tcBorders>
              <w:top w:val="single" w:sz="4" w:space="0" w:color="auto"/>
              <w:left w:val="single" w:sz="4" w:space="0" w:color="auto"/>
              <w:bottom w:val="single" w:sz="4" w:space="0" w:color="auto"/>
              <w:right w:val="single" w:sz="4" w:space="0" w:color="auto"/>
            </w:tcBorders>
            <w:shd w:val="clear" w:color="auto" w:fill="auto"/>
          </w:tcPr>
          <w:p w14:paraId="1968F255" w14:textId="77777777" w:rsidR="00055596" w:rsidRPr="00600B68" w:rsidRDefault="00B650B7" w:rsidP="001351FC">
            <w:pPr>
              <w:rPr>
                <w:lang w:eastAsia="en-US"/>
              </w:rPr>
            </w:pPr>
            <w:r w:rsidRPr="00600B68">
              <w:t>Projekta izstrādē iesaistītās institūcijas</w:t>
            </w:r>
            <w:r w:rsidR="00742CA8" w:rsidRPr="00600B68">
              <w:t xml:space="preserve"> un publiskas personas kapitālsabiedrības</w:t>
            </w:r>
          </w:p>
        </w:tc>
        <w:tc>
          <w:tcPr>
            <w:tcW w:w="3489" w:type="pct"/>
            <w:tcBorders>
              <w:top w:val="single" w:sz="4" w:space="0" w:color="auto"/>
              <w:left w:val="single" w:sz="4" w:space="0" w:color="auto"/>
              <w:bottom w:val="single" w:sz="4" w:space="0" w:color="auto"/>
              <w:right w:val="single" w:sz="4" w:space="0" w:color="auto"/>
            </w:tcBorders>
            <w:shd w:val="clear" w:color="auto" w:fill="auto"/>
          </w:tcPr>
          <w:p w14:paraId="1968F256" w14:textId="77777777" w:rsidR="00055596" w:rsidRPr="00600B68" w:rsidRDefault="00154ADC" w:rsidP="00E15EC6">
            <w:pPr>
              <w:ind w:left="66"/>
              <w:jc w:val="both"/>
              <w:rPr>
                <w:bCs/>
                <w:strike/>
              </w:rPr>
            </w:pPr>
            <w:r w:rsidRPr="00600B68">
              <w:rPr>
                <w:bCs/>
                <w:iCs/>
              </w:rPr>
              <w:t>Izglītības un zinātnes ministrija</w:t>
            </w:r>
            <w:bookmarkStart w:id="0" w:name="_GoBack"/>
            <w:bookmarkEnd w:id="0"/>
          </w:p>
        </w:tc>
      </w:tr>
      <w:tr w:rsidR="00600B68" w:rsidRPr="00600B68" w14:paraId="1968F25B" w14:textId="77777777" w:rsidTr="008B1C36">
        <w:tc>
          <w:tcPr>
            <w:tcW w:w="435" w:type="pct"/>
            <w:tcBorders>
              <w:top w:val="single" w:sz="4" w:space="0" w:color="auto"/>
              <w:left w:val="single" w:sz="4" w:space="0" w:color="auto"/>
              <w:bottom w:val="single" w:sz="4" w:space="0" w:color="auto"/>
              <w:right w:val="single" w:sz="4" w:space="0" w:color="auto"/>
            </w:tcBorders>
            <w:shd w:val="clear" w:color="auto" w:fill="auto"/>
          </w:tcPr>
          <w:p w14:paraId="1968F258" w14:textId="77777777" w:rsidR="00055596" w:rsidRPr="00600B68" w:rsidRDefault="00B650B7" w:rsidP="001351FC">
            <w:pPr>
              <w:jc w:val="center"/>
              <w:rPr>
                <w:lang w:eastAsia="en-US"/>
              </w:rPr>
            </w:pPr>
            <w:r w:rsidRPr="00600B68">
              <w:t>4.</w:t>
            </w:r>
          </w:p>
        </w:tc>
        <w:tc>
          <w:tcPr>
            <w:tcW w:w="1075" w:type="pct"/>
            <w:tcBorders>
              <w:top w:val="single" w:sz="4" w:space="0" w:color="auto"/>
              <w:left w:val="single" w:sz="4" w:space="0" w:color="auto"/>
              <w:bottom w:val="single" w:sz="4" w:space="0" w:color="auto"/>
              <w:right w:val="single" w:sz="4" w:space="0" w:color="auto"/>
            </w:tcBorders>
            <w:shd w:val="clear" w:color="auto" w:fill="auto"/>
          </w:tcPr>
          <w:p w14:paraId="1968F259" w14:textId="77777777" w:rsidR="00055596" w:rsidRPr="00600B68" w:rsidRDefault="00B650B7" w:rsidP="001351FC">
            <w:pPr>
              <w:rPr>
                <w:lang w:eastAsia="en-US"/>
              </w:rPr>
            </w:pPr>
            <w:r w:rsidRPr="00600B68">
              <w:t>Cita informācija</w:t>
            </w:r>
          </w:p>
        </w:tc>
        <w:tc>
          <w:tcPr>
            <w:tcW w:w="3489" w:type="pct"/>
            <w:tcBorders>
              <w:top w:val="single" w:sz="4" w:space="0" w:color="auto"/>
              <w:left w:val="single" w:sz="4" w:space="0" w:color="auto"/>
              <w:bottom w:val="single" w:sz="4" w:space="0" w:color="auto"/>
              <w:right w:val="single" w:sz="4" w:space="0" w:color="auto"/>
            </w:tcBorders>
            <w:shd w:val="clear" w:color="auto" w:fill="FFFFFF"/>
          </w:tcPr>
          <w:p w14:paraId="1968F25A" w14:textId="77777777" w:rsidR="00055596" w:rsidRPr="00600B68" w:rsidRDefault="00616CE1" w:rsidP="002B0E96">
            <w:pPr>
              <w:pStyle w:val="Default"/>
              <w:jc w:val="both"/>
              <w:rPr>
                <w:rFonts w:eastAsia="Times New Roman"/>
                <w:color w:val="auto"/>
                <w:lang w:bidi="lo-LA"/>
              </w:rPr>
            </w:pPr>
            <w:r w:rsidRPr="00600B68">
              <w:rPr>
                <w:bCs/>
                <w:color w:val="auto"/>
              </w:rPr>
              <w:t>Nav.</w:t>
            </w:r>
            <w:r w:rsidR="00B650B7" w:rsidRPr="00600B68">
              <w:rPr>
                <w:bCs/>
                <w:color w:val="auto"/>
              </w:rPr>
              <w:t xml:space="preserve"> </w:t>
            </w:r>
          </w:p>
        </w:tc>
      </w:tr>
    </w:tbl>
    <w:p w14:paraId="1968F25C" w14:textId="77777777" w:rsidR="000952B3" w:rsidRPr="00600B68" w:rsidRDefault="00176E94" w:rsidP="00176E94">
      <w:pPr>
        <w:tabs>
          <w:tab w:val="left" w:pos="7395"/>
        </w:tabs>
        <w:jc w:val="both"/>
      </w:pPr>
      <w:r w:rsidRPr="00600B68">
        <w:lastRenderedPageBreak/>
        <w:tab/>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
        <w:gridCol w:w="2400"/>
        <w:gridCol w:w="6265"/>
      </w:tblGrid>
      <w:tr w:rsidR="00600B68" w:rsidRPr="00600B68" w14:paraId="1968F25E" w14:textId="77777777" w:rsidTr="009B6065">
        <w:tc>
          <w:tcPr>
            <w:tcW w:w="5000" w:type="pct"/>
            <w:gridSpan w:val="3"/>
            <w:tcBorders>
              <w:top w:val="single" w:sz="4" w:space="0" w:color="auto"/>
              <w:left w:val="single" w:sz="4" w:space="0" w:color="auto"/>
              <w:bottom w:val="single" w:sz="4" w:space="0" w:color="auto"/>
              <w:right w:val="single" w:sz="4" w:space="0" w:color="auto"/>
            </w:tcBorders>
            <w:shd w:val="clear" w:color="auto" w:fill="auto"/>
            <w:hideMark/>
          </w:tcPr>
          <w:p w14:paraId="1968F25D" w14:textId="77777777" w:rsidR="000952B3" w:rsidRPr="00600B68" w:rsidRDefault="00B650B7" w:rsidP="001351FC">
            <w:pPr>
              <w:pStyle w:val="ListParagraph"/>
              <w:tabs>
                <w:tab w:val="left" w:pos="2268"/>
                <w:tab w:val="left" w:pos="2410"/>
              </w:tabs>
              <w:ind w:left="1080"/>
              <w:jc w:val="center"/>
              <w:rPr>
                <w:b/>
                <w:sz w:val="24"/>
                <w:szCs w:val="24"/>
                <w:lang w:eastAsia="en-US"/>
              </w:rPr>
            </w:pPr>
            <w:r w:rsidRPr="00600B68">
              <w:rPr>
                <w:b/>
                <w:bCs/>
                <w:sz w:val="24"/>
                <w:szCs w:val="24"/>
              </w:rPr>
              <w:t>II. Tiesību akta projekta ietekme uz sabiedrību, tautsaimniecības attīstību un administratīvo slogu</w:t>
            </w:r>
          </w:p>
        </w:tc>
      </w:tr>
      <w:tr w:rsidR="00600B68" w:rsidRPr="00600B68" w14:paraId="1968F262"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hideMark/>
          </w:tcPr>
          <w:p w14:paraId="1968F25F" w14:textId="77777777" w:rsidR="000952B3" w:rsidRPr="00600B68" w:rsidRDefault="00B650B7" w:rsidP="001351FC">
            <w:pPr>
              <w:jc w:val="center"/>
              <w:rPr>
                <w:lang w:eastAsia="en-US"/>
              </w:rPr>
            </w:pPr>
            <w:r w:rsidRPr="00600B68">
              <w:t>1.</w:t>
            </w:r>
          </w:p>
        </w:tc>
        <w:tc>
          <w:tcPr>
            <w:tcW w:w="1326" w:type="pct"/>
            <w:tcBorders>
              <w:top w:val="single" w:sz="4" w:space="0" w:color="auto"/>
              <w:left w:val="single" w:sz="4" w:space="0" w:color="auto"/>
              <w:bottom w:val="single" w:sz="4" w:space="0" w:color="auto"/>
              <w:right w:val="single" w:sz="4" w:space="0" w:color="auto"/>
            </w:tcBorders>
            <w:shd w:val="clear" w:color="auto" w:fill="auto"/>
            <w:hideMark/>
          </w:tcPr>
          <w:p w14:paraId="1968F260" w14:textId="77777777" w:rsidR="000952B3" w:rsidRPr="00600B68" w:rsidRDefault="00B650B7" w:rsidP="001351FC">
            <w:pPr>
              <w:rPr>
                <w:lang w:eastAsia="en-US"/>
              </w:rPr>
            </w:pPr>
            <w:r w:rsidRPr="00600B68">
              <w:t xml:space="preserve">Sabiedrības </w:t>
            </w:r>
            <w:proofErr w:type="spellStart"/>
            <w:r w:rsidRPr="00600B68">
              <w:t>mērķgrupas</w:t>
            </w:r>
            <w:proofErr w:type="spellEnd"/>
            <w:r w:rsidRPr="00600B68">
              <w:t>, kuras tiesiskais regulējums ietekmē vai varētu ietekmēt</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1968F261" w14:textId="77777777" w:rsidR="000952B3" w:rsidRPr="00600B68" w:rsidRDefault="00154ADC" w:rsidP="00AE0D6E">
            <w:pPr>
              <w:shd w:val="clear" w:color="auto" w:fill="FFFFFF"/>
              <w:ind w:left="94" w:right="57"/>
              <w:jc w:val="both"/>
            </w:pPr>
            <w:r w:rsidRPr="00600B68">
              <w:t>Noteikumu projekta mērķa grup</w:t>
            </w:r>
            <w:r w:rsidR="00DB15E9">
              <w:t>a</w:t>
            </w:r>
            <w:r w:rsidRPr="00600B68">
              <w:t xml:space="preserve"> ir </w:t>
            </w:r>
            <w:r w:rsidR="00796FD3" w:rsidRPr="00600B68">
              <w:t xml:space="preserve">zinātniskās institūcijas un </w:t>
            </w:r>
            <w:r w:rsidR="00F02528" w:rsidRPr="00600B68">
              <w:t xml:space="preserve">mazie, vidējie vai lielie </w:t>
            </w:r>
            <w:r w:rsidR="00F02528">
              <w:t>saimnieciskās darbības veicēji</w:t>
            </w:r>
            <w:r w:rsidR="00AE0D6E">
              <w:t xml:space="preserve"> (juridiskas personas)</w:t>
            </w:r>
            <w:r w:rsidR="000644ED" w:rsidRPr="00600B68">
              <w:t xml:space="preserve">, </w:t>
            </w:r>
            <w:r w:rsidR="00AE0D6E">
              <w:t>Centrālā finanšu un līgumu aģentūra</w:t>
            </w:r>
            <w:r w:rsidR="00AE0D6E" w:rsidRPr="00600B68">
              <w:t xml:space="preserve"> </w:t>
            </w:r>
            <w:r w:rsidR="000644ED" w:rsidRPr="00600B68">
              <w:t>kā sadarbības iest</w:t>
            </w:r>
            <w:r w:rsidR="008E2B4B" w:rsidRPr="00600B68">
              <w:t>āde.</w:t>
            </w:r>
            <w:r w:rsidR="00796FD3" w:rsidRPr="00600B68">
              <w:t xml:space="preserve"> </w:t>
            </w:r>
          </w:p>
        </w:tc>
      </w:tr>
      <w:tr w:rsidR="00600B68" w:rsidRPr="00600B68" w14:paraId="1968F267"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tcPr>
          <w:p w14:paraId="1968F263" w14:textId="77777777" w:rsidR="000952B3" w:rsidRPr="00600B68" w:rsidRDefault="00B650B7" w:rsidP="001351FC">
            <w:pPr>
              <w:jc w:val="center"/>
            </w:pPr>
            <w:r w:rsidRPr="00600B68">
              <w:t>2.</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968F264" w14:textId="77777777" w:rsidR="000952B3" w:rsidRPr="00600B68" w:rsidRDefault="00B650B7" w:rsidP="001351FC">
            <w:r w:rsidRPr="00600B68">
              <w:t>Tiesiskā regulējuma ietekme uz tautsaimniecību un administratīvo slogu</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1968F265" w14:textId="77777777" w:rsidR="00F02528" w:rsidRPr="00600B68" w:rsidRDefault="00717BF9" w:rsidP="00F02528">
            <w:pPr>
              <w:shd w:val="clear" w:color="auto" w:fill="FFFFFF"/>
              <w:ind w:left="94" w:right="57"/>
              <w:jc w:val="both"/>
              <w:rPr>
                <w:bCs/>
                <w:lang w:eastAsia="en-US"/>
              </w:rPr>
            </w:pPr>
            <w:r w:rsidRPr="00600B68">
              <w:t>Ar noteikumu projektu</w:t>
            </w:r>
            <w:r w:rsidR="002F1D81" w:rsidRPr="00600B68">
              <w:t xml:space="preserve"> </w:t>
            </w:r>
            <w:r w:rsidRPr="00600B68">
              <w:t>tiek mazināts administratīvais slogs</w:t>
            </w:r>
            <w:r w:rsidR="00F02528">
              <w:t xml:space="preserve">, jo tiek sekmēta normatīvā akta uztveramība. </w:t>
            </w:r>
          </w:p>
          <w:p w14:paraId="1968F266" w14:textId="77777777" w:rsidR="000952B3" w:rsidRPr="00600B68" w:rsidRDefault="000952B3" w:rsidP="00DF01B7">
            <w:pPr>
              <w:shd w:val="clear" w:color="auto" w:fill="FFFFFF"/>
              <w:ind w:left="94" w:right="57"/>
              <w:jc w:val="both"/>
              <w:rPr>
                <w:bCs/>
                <w:lang w:eastAsia="en-US"/>
              </w:rPr>
            </w:pPr>
          </w:p>
        </w:tc>
      </w:tr>
      <w:tr w:rsidR="00600B68" w:rsidRPr="00600B68" w14:paraId="1968F26B"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tcPr>
          <w:p w14:paraId="1968F268" w14:textId="77777777" w:rsidR="000952B3" w:rsidRPr="00600B68" w:rsidRDefault="00B650B7" w:rsidP="001351FC">
            <w:pPr>
              <w:jc w:val="center"/>
            </w:pPr>
            <w:r w:rsidRPr="00600B68">
              <w:t>3.</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968F269" w14:textId="77777777" w:rsidR="000952B3" w:rsidRPr="00600B68" w:rsidRDefault="00B650B7" w:rsidP="001351FC">
            <w:r w:rsidRPr="00600B68">
              <w:t>Administratīvo izmaksu monetārs novērtējums</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1968F26A" w14:textId="77777777" w:rsidR="000952B3" w:rsidRPr="00600B68" w:rsidRDefault="00154ADC" w:rsidP="00DF01B7">
            <w:pPr>
              <w:shd w:val="clear" w:color="auto" w:fill="FFFFFF"/>
              <w:ind w:left="94" w:right="57"/>
              <w:jc w:val="both"/>
              <w:rPr>
                <w:bCs/>
                <w:lang w:eastAsia="en-US"/>
              </w:rPr>
            </w:pPr>
            <w:r w:rsidRPr="00600B68">
              <w:t>Noteikumu projekta ietekme uz administratīvajām  izmaksām</w:t>
            </w:r>
            <w:r w:rsidR="000203E5" w:rsidRPr="00600B68">
              <w:t xml:space="preserve"> nepārsniedz </w:t>
            </w:r>
            <w:r w:rsidR="006B07D7" w:rsidRPr="00600B68">
              <w:t xml:space="preserve">Ministru kabineta 2009. gada 15. decembra instrukcijas Nr. 19 </w:t>
            </w:r>
            <w:r w:rsidR="006B07D7" w:rsidRPr="00600B68">
              <w:rPr>
                <w:bCs/>
              </w:rPr>
              <w:t>“</w:t>
            </w:r>
            <w:r w:rsidR="006B07D7" w:rsidRPr="00600B68">
              <w:t>Tiesību akta projekta sākotnējās ietekmes izvērtēšanas kārtība” 25. punktā noteikto administratīvo izmaksu monetārā novērtējuma slieksni</w:t>
            </w:r>
            <w:r w:rsidRPr="00600B68">
              <w:t>.</w:t>
            </w:r>
          </w:p>
        </w:tc>
      </w:tr>
      <w:tr w:rsidR="00600B68" w:rsidRPr="00600B68" w14:paraId="1968F26F"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tcPr>
          <w:p w14:paraId="1968F26C" w14:textId="77777777" w:rsidR="000952B3" w:rsidRPr="00600B68" w:rsidRDefault="00B650B7" w:rsidP="001351FC">
            <w:pPr>
              <w:jc w:val="center"/>
            </w:pPr>
            <w:r w:rsidRPr="00600B68">
              <w:t>4.</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968F26D" w14:textId="77777777" w:rsidR="000952B3" w:rsidRPr="00600B68" w:rsidRDefault="00B650B7" w:rsidP="001351FC">
            <w:r w:rsidRPr="00600B68">
              <w:t>Atbilstības izmaksu monetārs novērtējums</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1968F26E" w14:textId="77777777" w:rsidR="000952B3" w:rsidRPr="00600B68" w:rsidRDefault="00154ADC" w:rsidP="00791266">
            <w:pPr>
              <w:shd w:val="clear" w:color="auto" w:fill="FFFFFF"/>
              <w:ind w:left="94" w:right="57"/>
              <w:jc w:val="both"/>
              <w:rPr>
                <w:bCs/>
                <w:lang w:eastAsia="en-US"/>
              </w:rPr>
            </w:pPr>
            <w:r w:rsidRPr="00600B68">
              <w:t>Noteikumu projektam nav ietekmes uz atbilstības izmaksām.</w:t>
            </w:r>
          </w:p>
        </w:tc>
      </w:tr>
      <w:tr w:rsidR="00600B68" w:rsidRPr="00600B68" w14:paraId="1968F273" w14:textId="77777777" w:rsidTr="009B6065">
        <w:tc>
          <w:tcPr>
            <w:tcW w:w="216" w:type="pct"/>
            <w:tcBorders>
              <w:top w:val="single" w:sz="4" w:space="0" w:color="auto"/>
              <w:left w:val="single" w:sz="4" w:space="0" w:color="auto"/>
              <w:bottom w:val="single" w:sz="4" w:space="0" w:color="auto"/>
              <w:right w:val="single" w:sz="4" w:space="0" w:color="auto"/>
            </w:tcBorders>
            <w:shd w:val="clear" w:color="auto" w:fill="auto"/>
          </w:tcPr>
          <w:p w14:paraId="1968F270" w14:textId="77777777" w:rsidR="000952B3" w:rsidRPr="00600B68" w:rsidRDefault="00B650B7" w:rsidP="001351FC">
            <w:pPr>
              <w:jc w:val="center"/>
            </w:pPr>
            <w:r w:rsidRPr="00600B68">
              <w:t>5.</w:t>
            </w:r>
          </w:p>
        </w:tc>
        <w:tc>
          <w:tcPr>
            <w:tcW w:w="1326" w:type="pct"/>
            <w:tcBorders>
              <w:top w:val="single" w:sz="4" w:space="0" w:color="auto"/>
              <w:left w:val="single" w:sz="4" w:space="0" w:color="auto"/>
              <w:bottom w:val="single" w:sz="4" w:space="0" w:color="auto"/>
              <w:right w:val="single" w:sz="4" w:space="0" w:color="auto"/>
            </w:tcBorders>
            <w:shd w:val="clear" w:color="auto" w:fill="auto"/>
          </w:tcPr>
          <w:p w14:paraId="1968F271" w14:textId="77777777" w:rsidR="000952B3" w:rsidRPr="00600B68" w:rsidRDefault="00B650B7" w:rsidP="001351FC">
            <w:r w:rsidRPr="00600B68">
              <w:t>Cita informācija</w:t>
            </w:r>
          </w:p>
        </w:tc>
        <w:tc>
          <w:tcPr>
            <w:tcW w:w="3459" w:type="pct"/>
            <w:tcBorders>
              <w:top w:val="single" w:sz="4" w:space="0" w:color="auto"/>
              <w:left w:val="single" w:sz="4" w:space="0" w:color="auto"/>
              <w:bottom w:val="single" w:sz="4" w:space="0" w:color="auto"/>
              <w:right w:val="single" w:sz="4" w:space="0" w:color="auto"/>
            </w:tcBorders>
            <w:shd w:val="clear" w:color="auto" w:fill="auto"/>
            <w:vAlign w:val="center"/>
          </w:tcPr>
          <w:p w14:paraId="1968F272" w14:textId="77777777" w:rsidR="000952B3" w:rsidRPr="00600B68" w:rsidRDefault="00B650B7" w:rsidP="00791266">
            <w:pPr>
              <w:shd w:val="clear" w:color="auto" w:fill="FFFFFF"/>
              <w:ind w:left="94" w:right="57"/>
              <w:jc w:val="both"/>
              <w:rPr>
                <w:bCs/>
                <w:lang w:eastAsia="en-US"/>
              </w:rPr>
            </w:pPr>
            <w:r w:rsidRPr="00600B68">
              <w:t>Nav</w:t>
            </w:r>
            <w:r w:rsidR="00352BE9" w:rsidRPr="00600B68">
              <w:rPr>
                <w:bCs/>
                <w:lang w:eastAsia="en-US"/>
              </w:rPr>
              <w:t>.</w:t>
            </w:r>
          </w:p>
        </w:tc>
      </w:tr>
    </w:tbl>
    <w:p w14:paraId="1968F274" w14:textId="77777777" w:rsidR="004D2E35" w:rsidRPr="00600B68" w:rsidRDefault="004D2E35" w:rsidP="001351FC"/>
    <w:tbl>
      <w:tblPr>
        <w:tblpPr w:leftFromText="180" w:rightFromText="180" w:vertAnchor="text" w:tblpY="1"/>
        <w:tblOverlap w:val="neve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1"/>
      </w:tblGrid>
      <w:tr w:rsidR="00600B68" w:rsidRPr="00600B68" w14:paraId="1968F276" w14:textId="77777777" w:rsidTr="009B6065">
        <w:trPr>
          <w:trHeight w:val="3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968F275" w14:textId="77777777" w:rsidR="006109C0" w:rsidRPr="00600B68" w:rsidRDefault="006109C0" w:rsidP="006B07D7">
            <w:pPr>
              <w:pStyle w:val="ListParagraph"/>
              <w:tabs>
                <w:tab w:val="left" w:pos="317"/>
              </w:tabs>
              <w:ind w:left="0"/>
              <w:jc w:val="center"/>
              <w:rPr>
                <w:bCs/>
                <w:sz w:val="24"/>
                <w:szCs w:val="24"/>
                <w:lang w:eastAsia="en-US"/>
              </w:rPr>
            </w:pPr>
            <w:r w:rsidRPr="00600B68">
              <w:rPr>
                <w:b/>
                <w:bCs/>
                <w:sz w:val="24"/>
                <w:szCs w:val="24"/>
                <w:lang w:eastAsia="ja-JP"/>
              </w:rPr>
              <w:t>III. Tiesību akta projekta ietekme uz valsts budžetu un pašvaldību budžetiem</w:t>
            </w:r>
          </w:p>
        </w:tc>
      </w:tr>
      <w:tr w:rsidR="00600B68" w:rsidRPr="00600B68" w14:paraId="1968F278" w14:textId="77777777" w:rsidTr="009B6065">
        <w:trPr>
          <w:trHeight w:val="327"/>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1968F277" w14:textId="77777777" w:rsidR="00742CA8" w:rsidRPr="00600B68" w:rsidRDefault="00742CA8" w:rsidP="006B07D7">
            <w:pPr>
              <w:pStyle w:val="ListParagraph"/>
              <w:tabs>
                <w:tab w:val="left" w:pos="317"/>
              </w:tabs>
              <w:ind w:left="0"/>
              <w:jc w:val="center"/>
              <w:rPr>
                <w:b/>
                <w:bCs/>
                <w:sz w:val="24"/>
                <w:szCs w:val="24"/>
                <w:lang w:eastAsia="ja-JP"/>
              </w:rPr>
            </w:pPr>
            <w:r w:rsidRPr="00600B68">
              <w:rPr>
                <w:iCs/>
                <w:sz w:val="24"/>
                <w:szCs w:val="24"/>
              </w:rPr>
              <w:t>Noteikumu projekts šo jomu neskar.</w:t>
            </w:r>
          </w:p>
        </w:tc>
      </w:tr>
    </w:tbl>
    <w:p w14:paraId="1968F279" w14:textId="77777777" w:rsidR="000952B3" w:rsidRPr="00600B68" w:rsidRDefault="000952B3" w:rsidP="001351F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9061"/>
      </w:tblGrid>
      <w:tr w:rsidR="008A3DD6" w:rsidRPr="00600B68" w14:paraId="1968F27B" w14:textId="77777777" w:rsidTr="008A3DD6">
        <w:trPr>
          <w:trHeight w:val="375"/>
        </w:trPr>
        <w:tc>
          <w:tcPr>
            <w:tcW w:w="5000" w:type="pct"/>
          </w:tcPr>
          <w:p w14:paraId="1968F27A" w14:textId="77777777" w:rsidR="008A3DD6" w:rsidRPr="00600B68" w:rsidRDefault="008A3DD6" w:rsidP="00782421">
            <w:pPr>
              <w:ind w:firstLine="300"/>
              <w:jc w:val="center"/>
              <w:rPr>
                <w:b/>
                <w:bCs/>
              </w:rPr>
            </w:pPr>
            <w:r w:rsidRPr="00600B68">
              <w:rPr>
                <w:b/>
              </w:rPr>
              <w:t>IV.</w:t>
            </w:r>
            <w:r w:rsidRPr="00600B68">
              <w:t xml:space="preserve"> </w:t>
            </w:r>
            <w:r w:rsidRPr="00600B68">
              <w:rPr>
                <w:b/>
              </w:rPr>
              <w:t>Tiesību akta projekta ietekme uz spēkā esošo tiesību normu sistēmu</w:t>
            </w:r>
          </w:p>
        </w:tc>
      </w:tr>
      <w:tr w:rsidR="008A3DD6" w:rsidRPr="00600B68" w14:paraId="1968F27D" w14:textId="77777777" w:rsidTr="008A3DD6">
        <w:tc>
          <w:tcPr>
            <w:tcW w:w="5000" w:type="pct"/>
          </w:tcPr>
          <w:p w14:paraId="1968F27C" w14:textId="77777777" w:rsidR="008A3DD6" w:rsidRPr="00600B68" w:rsidRDefault="008A3DD6" w:rsidP="008A3DD6">
            <w:pPr>
              <w:jc w:val="center"/>
            </w:pPr>
            <w:r w:rsidRPr="00600B68">
              <w:rPr>
                <w:iCs/>
              </w:rPr>
              <w:t>Noteikumu projekts šo jomu neskar.</w:t>
            </w:r>
          </w:p>
        </w:tc>
      </w:tr>
    </w:tbl>
    <w:p w14:paraId="1968F27E" w14:textId="77777777" w:rsidR="00B000A1" w:rsidRPr="00600B68" w:rsidRDefault="00B000A1" w:rsidP="00AB4574">
      <w:pPr>
        <w:rPr>
          <w:sz w:val="26"/>
          <w:szCs w:val="26"/>
        </w:rPr>
      </w:pP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4A0" w:firstRow="1" w:lastRow="0" w:firstColumn="1" w:lastColumn="0" w:noHBand="0" w:noVBand="1"/>
      </w:tblPr>
      <w:tblGrid>
        <w:gridCol w:w="732"/>
        <w:gridCol w:w="1971"/>
        <w:gridCol w:w="6403"/>
      </w:tblGrid>
      <w:tr w:rsidR="00600B68" w:rsidRPr="00600B68" w14:paraId="1968F280" w14:textId="77777777" w:rsidTr="00B30CB5">
        <w:trPr>
          <w:trHeight w:val="375"/>
        </w:trPr>
        <w:tc>
          <w:tcPr>
            <w:tcW w:w="0" w:type="auto"/>
            <w:gridSpan w:val="3"/>
            <w:vAlign w:val="center"/>
            <w:hideMark/>
          </w:tcPr>
          <w:p w14:paraId="1968F27F" w14:textId="77777777" w:rsidR="00AB4574" w:rsidRPr="00600B68" w:rsidRDefault="00AB4574" w:rsidP="00B30CB5">
            <w:pPr>
              <w:ind w:firstLine="300"/>
              <w:jc w:val="center"/>
              <w:rPr>
                <w:b/>
                <w:bCs/>
              </w:rPr>
            </w:pPr>
            <w:r w:rsidRPr="00600B68">
              <w:rPr>
                <w:b/>
                <w:bCs/>
              </w:rPr>
              <w:t>V. Tiesību akta projekta atbilstība Latvijas Republikas starptautiskajām saistībām</w:t>
            </w:r>
          </w:p>
        </w:tc>
      </w:tr>
      <w:tr w:rsidR="00600B68" w:rsidRPr="00600B68" w14:paraId="1968F284" w14:textId="77777777" w:rsidTr="00B30CB5">
        <w:tc>
          <w:tcPr>
            <w:tcW w:w="402" w:type="pct"/>
            <w:hideMark/>
          </w:tcPr>
          <w:p w14:paraId="1968F281" w14:textId="77777777" w:rsidR="00AB4574" w:rsidRPr="00600B68" w:rsidRDefault="00AB4574" w:rsidP="00B30CB5">
            <w:r w:rsidRPr="00600B68">
              <w:t>1.</w:t>
            </w:r>
          </w:p>
        </w:tc>
        <w:tc>
          <w:tcPr>
            <w:tcW w:w="1082" w:type="pct"/>
            <w:hideMark/>
          </w:tcPr>
          <w:p w14:paraId="1968F282" w14:textId="77777777" w:rsidR="00AB4574" w:rsidRPr="00600B68" w:rsidRDefault="00AB4574" w:rsidP="00B30CB5">
            <w:pPr>
              <w:jc w:val="both"/>
            </w:pPr>
            <w:r w:rsidRPr="00600B68">
              <w:t>Saistības pret Eiropas Savienību</w:t>
            </w:r>
          </w:p>
        </w:tc>
        <w:tc>
          <w:tcPr>
            <w:tcW w:w="3515" w:type="pct"/>
            <w:hideMark/>
          </w:tcPr>
          <w:p w14:paraId="1968F283" w14:textId="77777777" w:rsidR="00AB4574" w:rsidRPr="00600B68" w:rsidRDefault="00AB4574" w:rsidP="00B30CB5">
            <w:pPr>
              <w:spacing w:before="10"/>
              <w:ind w:right="113"/>
              <w:jc w:val="both"/>
            </w:pPr>
            <w:r w:rsidRPr="00600B68">
              <w:t>Eiropas Komisijas 2014. gada 17. jūnija Regulas Nr. 651/2014, ar ko noteiktas atbalsta kategorijas atzīst par saderīgām ar iekšējo tirgu, piemērojot Līguma 107. un 108. pantu (turpmāk – Komisijas regula Nr. 651/2014).</w:t>
            </w:r>
          </w:p>
        </w:tc>
      </w:tr>
      <w:tr w:rsidR="00600B68" w:rsidRPr="00600B68" w14:paraId="1968F288" w14:textId="77777777" w:rsidTr="00B30CB5">
        <w:tc>
          <w:tcPr>
            <w:tcW w:w="402" w:type="pct"/>
            <w:hideMark/>
          </w:tcPr>
          <w:p w14:paraId="1968F285" w14:textId="77777777" w:rsidR="00AB4574" w:rsidRPr="00600B68" w:rsidRDefault="00AB4574" w:rsidP="00B30CB5">
            <w:r w:rsidRPr="00600B68">
              <w:t>2.</w:t>
            </w:r>
          </w:p>
        </w:tc>
        <w:tc>
          <w:tcPr>
            <w:tcW w:w="1082" w:type="pct"/>
            <w:hideMark/>
          </w:tcPr>
          <w:p w14:paraId="1968F286" w14:textId="77777777" w:rsidR="00AB4574" w:rsidRPr="00600B68" w:rsidRDefault="00AB4574" w:rsidP="00B30CB5">
            <w:pPr>
              <w:jc w:val="both"/>
            </w:pPr>
            <w:r w:rsidRPr="00600B68">
              <w:t>Citas starptautiskās saistības</w:t>
            </w:r>
          </w:p>
        </w:tc>
        <w:tc>
          <w:tcPr>
            <w:tcW w:w="3515" w:type="pct"/>
            <w:hideMark/>
          </w:tcPr>
          <w:p w14:paraId="1968F287" w14:textId="77777777" w:rsidR="00AB4574" w:rsidRPr="00600B68" w:rsidRDefault="00AB4574" w:rsidP="00B30CB5">
            <w:pPr>
              <w:jc w:val="both"/>
            </w:pPr>
            <w:r w:rsidRPr="00600B68">
              <w:t>Noteikumu projekts šo jomu neskar.</w:t>
            </w:r>
          </w:p>
        </w:tc>
      </w:tr>
      <w:tr w:rsidR="00600B68" w:rsidRPr="00600B68" w14:paraId="1968F28C" w14:textId="77777777" w:rsidTr="00B30CB5">
        <w:tc>
          <w:tcPr>
            <w:tcW w:w="402" w:type="pct"/>
            <w:hideMark/>
          </w:tcPr>
          <w:p w14:paraId="1968F289" w14:textId="77777777" w:rsidR="00AB4574" w:rsidRPr="00600B68" w:rsidRDefault="00AB4574" w:rsidP="00B30CB5">
            <w:r w:rsidRPr="00600B68">
              <w:t>3.</w:t>
            </w:r>
          </w:p>
        </w:tc>
        <w:tc>
          <w:tcPr>
            <w:tcW w:w="1082" w:type="pct"/>
            <w:hideMark/>
          </w:tcPr>
          <w:p w14:paraId="1968F28A" w14:textId="77777777" w:rsidR="00AB4574" w:rsidRPr="00600B68" w:rsidRDefault="00AB4574" w:rsidP="00B30CB5">
            <w:pPr>
              <w:jc w:val="both"/>
            </w:pPr>
            <w:r w:rsidRPr="00600B68">
              <w:t>Cita informācija</w:t>
            </w:r>
          </w:p>
        </w:tc>
        <w:tc>
          <w:tcPr>
            <w:tcW w:w="3515" w:type="pct"/>
            <w:hideMark/>
          </w:tcPr>
          <w:p w14:paraId="1968F28B" w14:textId="77777777" w:rsidR="00AB4574" w:rsidRPr="00600B68" w:rsidRDefault="00AB4574" w:rsidP="00B30CB5">
            <w:r w:rsidRPr="00600B68">
              <w:t>Nav</w:t>
            </w:r>
          </w:p>
        </w:tc>
      </w:tr>
    </w:tbl>
    <w:p w14:paraId="1968F28D" w14:textId="77777777" w:rsidR="00AB4574" w:rsidRPr="00600B68" w:rsidRDefault="00AB4574" w:rsidP="00AB4574">
      <w:pPr>
        <w:rPr>
          <w:sz w:val="26"/>
          <w:szCs w:val="26"/>
        </w:rPr>
      </w:pPr>
    </w:p>
    <w:tbl>
      <w:tblPr>
        <w:tblW w:w="9217"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2755"/>
        <w:gridCol w:w="2126"/>
        <w:gridCol w:w="2020"/>
        <w:gridCol w:w="2316"/>
      </w:tblGrid>
      <w:tr w:rsidR="00600B68" w:rsidRPr="00600B68" w14:paraId="1968F28F" w14:textId="77777777" w:rsidTr="00B30CB5">
        <w:tc>
          <w:tcPr>
            <w:tcW w:w="9217" w:type="dxa"/>
            <w:gridSpan w:val="4"/>
            <w:vAlign w:val="center"/>
            <w:hideMark/>
          </w:tcPr>
          <w:p w14:paraId="1968F28E" w14:textId="77777777" w:rsidR="00AB4574" w:rsidRPr="00600B68" w:rsidRDefault="00AB4574" w:rsidP="00B30CB5">
            <w:pPr>
              <w:jc w:val="center"/>
              <w:rPr>
                <w:b/>
                <w:bCs/>
              </w:rPr>
            </w:pPr>
            <w:r w:rsidRPr="00600B68">
              <w:rPr>
                <w:b/>
                <w:bCs/>
              </w:rPr>
              <w:t>1.tabula</w:t>
            </w:r>
            <w:r w:rsidRPr="00600B68">
              <w:rPr>
                <w:b/>
                <w:bCs/>
              </w:rPr>
              <w:br/>
              <w:t>Tiesību akta projekta atbilstība ES tiesību aktiem</w:t>
            </w:r>
          </w:p>
        </w:tc>
      </w:tr>
      <w:tr w:rsidR="00600B68" w:rsidRPr="00600B68" w14:paraId="1968F292" w14:textId="77777777" w:rsidTr="00B30CB5">
        <w:tc>
          <w:tcPr>
            <w:tcW w:w="2755" w:type="dxa"/>
            <w:vAlign w:val="center"/>
            <w:hideMark/>
          </w:tcPr>
          <w:p w14:paraId="1968F290" w14:textId="77777777" w:rsidR="00AB4574" w:rsidRPr="00600B68" w:rsidRDefault="00AB4574" w:rsidP="00B30CB5">
            <w:pPr>
              <w:jc w:val="both"/>
            </w:pPr>
            <w:r w:rsidRPr="00600B68">
              <w:t>Attiecīgā ES tiesību akta datums, numurs un nosaukums</w:t>
            </w:r>
          </w:p>
        </w:tc>
        <w:tc>
          <w:tcPr>
            <w:tcW w:w="6462" w:type="dxa"/>
            <w:gridSpan w:val="3"/>
            <w:vAlign w:val="center"/>
            <w:hideMark/>
          </w:tcPr>
          <w:p w14:paraId="1968F291" w14:textId="77777777" w:rsidR="00AB4574" w:rsidRPr="00600B68" w:rsidRDefault="00AB4574" w:rsidP="00B30CB5">
            <w:pPr>
              <w:spacing w:before="10"/>
              <w:ind w:right="113"/>
              <w:jc w:val="both"/>
            </w:pPr>
            <w:r w:rsidRPr="00600B68">
              <w:t>Komisijas regula Nr. 651/2014</w:t>
            </w:r>
          </w:p>
        </w:tc>
      </w:tr>
      <w:tr w:rsidR="00600B68" w:rsidRPr="00600B68" w14:paraId="1968F297" w14:textId="77777777" w:rsidTr="00B30CB5">
        <w:tc>
          <w:tcPr>
            <w:tcW w:w="2755" w:type="dxa"/>
            <w:vAlign w:val="center"/>
            <w:hideMark/>
          </w:tcPr>
          <w:p w14:paraId="1968F293" w14:textId="77777777" w:rsidR="00AB4574" w:rsidRPr="00600B68" w:rsidRDefault="00AB4574" w:rsidP="00B30CB5">
            <w:pPr>
              <w:jc w:val="center"/>
            </w:pPr>
            <w:r w:rsidRPr="00600B68">
              <w:t>A</w:t>
            </w:r>
          </w:p>
        </w:tc>
        <w:tc>
          <w:tcPr>
            <w:tcW w:w="2126" w:type="dxa"/>
            <w:vAlign w:val="center"/>
            <w:hideMark/>
          </w:tcPr>
          <w:p w14:paraId="1968F294" w14:textId="77777777" w:rsidR="00AB4574" w:rsidRPr="00600B68" w:rsidRDefault="00AB4574" w:rsidP="00B30CB5">
            <w:pPr>
              <w:jc w:val="center"/>
            </w:pPr>
            <w:r w:rsidRPr="00600B68">
              <w:t>B</w:t>
            </w:r>
          </w:p>
        </w:tc>
        <w:tc>
          <w:tcPr>
            <w:tcW w:w="2020" w:type="dxa"/>
            <w:vAlign w:val="center"/>
            <w:hideMark/>
          </w:tcPr>
          <w:p w14:paraId="1968F295" w14:textId="77777777" w:rsidR="00AB4574" w:rsidRPr="00600B68" w:rsidRDefault="00AB4574" w:rsidP="00B30CB5">
            <w:pPr>
              <w:jc w:val="center"/>
            </w:pPr>
            <w:r w:rsidRPr="00600B68">
              <w:t>C</w:t>
            </w:r>
          </w:p>
        </w:tc>
        <w:tc>
          <w:tcPr>
            <w:tcW w:w="2316" w:type="dxa"/>
            <w:vAlign w:val="center"/>
            <w:hideMark/>
          </w:tcPr>
          <w:p w14:paraId="1968F296" w14:textId="77777777" w:rsidR="00AB4574" w:rsidRPr="00600B68" w:rsidRDefault="00AB4574" w:rsidP="00B30CB5">
            <w:pPr>
              <w:jc w:val="center"/>
            </w:pPr>
            <w:r w:rsidRPr="00600B68">
              <w:t>D</w:t>
            </w:r>
          </w:p>
        </w:tc>
      </w:tr>
      <w:tr w:rsidR="00600B68" w:rsidRPr="00600B68" w14:paraId="1968F2A0" w14:textId="77777777" w:rsidTr="00B30CB5">
        <w:tc>
          <w:tcPr>
            <w:tcW w:w="2755" w:type="dxa"/>
            <w:hideMark/>
          </w:tcPr>
          <w:p w14:paraId="1968F298" w14:textId="77777777" w:rsidR="00AB4574" w:rsidRPr="00600B68" w:rsidRDefault="00AB4574" w:rsidP="00B30CB5">
            <w:pPr>
              <w:pStyle w:val="naiskr"/>
              <w:spacing w:before="0" w:after="0"/>
              <w:jc w:val="both"/>
              <w:rPr>
                <w:lang w:eastAsia="en-US"/>
              </w:rPr>
            </w:pPr>
            <w:r w:rsidRPr="00600B68">
              <w:rPr>
                <w:lang w:eastAsia="en-US"/>
              </w:rPr>
              <w:t xml:space="preserve">Attiecīgā ES tiesību akta panta numurs (uzskaitot katru tiesību akta </w:t>
            </w:r>
            <w:r w:rsidRPr="00600B68">
              <w:rPr>
                <w:lang w:eastAsia="en-US"/>
              </w:rPr>
              <w:br/>
              <w:t>vienību – pantu, daļu, punktu, apakšpunktu)</w:t>
            </w:r>
          </w:p>
        </w:tc>
        <w:tc>
          <w:tcPr>
            <w:tcW w:w="2126" w:type="dxa"/>
            <w:hideMark/>
          </w:tcPr>
          <w:p w14:paraId="1968F299" w14:textId="77777777" w:rsidR="00AB4574" w:rsidRPr="00600B68" w:rsidRDefault="00AB4574" w:rsidP="00B30CB5">
            <w:pPr>
              <w:pStyle w:val="naiskr"/>
              <w:spacing w:before="0" w:after="0"/>
              <w:jc w:val="both"/>
              <w:rPr>
                <w:lang w:eastAsia="en-US"/>
              </w:rPr>
            </w:pPr>
            <w:r w:rsidRPr="00600B68">
              <w:rPr>
                <w:lang w:eastAsia="en-US"/>
              </w:rPr>
              <w:t>Projekta vienība, kas pārņem vai ievieš katru šīs tabulas A ailē minēto ES tiesību akta vienību</w:t>
            </w:r>
          </w:p>
        </w:tc>
        <w:tc>
          <w:tcPr>
            <w:tcW w:w="2020" w:type="dxa"/>
            <w:hideMark/>
          </w:tcPr>
          <w:p w14:paraId="1968F29A" w14:textId="77777777" w:rsidR="00AB4574" w:rsidRPr="00600B68" w:rsidRDefault="00AB4574" w:rsidP="00B30CB5">
            <w:pPr>
              <w:pStyle w:val="naiskr"/>
              <w:spacing w:before="0" w:after="0"/>
              <w:jc w:val="both"/>
              <w:rPr>
                <w:lang w:eastAsia="en-US"/>
              </w:rPr>
            </w:pPr>
            <w:r w:rsidRPr="00600B68">
              <w:rPr>
                <w:lang w:eastAsia="en-US"/>
              </w:rPr>
              <w:t xml:space="preserve">Informācija par to, vai šīs tabulas A ailē minētās ES tiesību akta vienības tiek pārņemtas vai </w:t>
            </w:r>
            <w:r w:rsidRPr="00600B68">
              <w:rPr>
                <w:lang w:eastAsia="en-US"/>
              </w:rPr>
              <w:lastRenderedPageBreak/>
              <w:t>ieviestas pilnībā vai daļēji.</w:t>
            </w:r>
          </w:p>
          <w:p w14:paraId="1968F29B" w14:textId="77777777" w:rsidR="00AB4574" w:rsidRPr="00600B68" w:rsidRDefault="00AB4574" w:rsidP="00B30CB5">
            <w:pPr>
              <w:pStyle w:val="naiskr"/>
              <w:spacing w:before="0" w:after="0"/>
              <w:jc w:val="both"/>
              <w:rPr>
                <w:lang w:eastAsia="en-US"/>
              </w:rPr>
            </w:pPr>
            <w:r w:rsidRPr="00600B68">
              <w:rPr>
                <w:lang w:eastAsia="en-US"/>
              </w:rPr>
              <w:t>Ja attiecīgā ES tiesību akta vienība tiek pārņemta vai ieviesta daļēji, – sniedz attiecīgu skaidrojumu, kā arī precīzi norāda, kad un kādā veidā ES tiesību akta vienība tiks pārņemta vai ieviesta pilnībā.</w:t>
            </w:r>
          </w:p>
          <w:p w14:paraId="1968F29C" w14:textId="77777777" w:rsidR="00AB4574" w:rsidRPr="00600B68" w:rsidRDefault="00AB4574" w:rsidP="00B30CB5">
            <w:pPr>
              <w:pStyle w:val="naiskr"/>
              <w:spacing w:before="0" w:after="0"/>
              <w:jc w:val="both"/>
              <w:rPr>
                <w:lang w:eastAsia="en-US"/>
              </w:rPr>
            </w:pPr>
            <w:r w:rsidRPr="00600B68">
              <w:rPr>
                <w:lang w:eastAsia="en-US"/>
              </w:rPr>
              <w:t>Norāda institūciju, kas ir atbildīga par šo saistību izpildi pilnībā</w:t>
            </w:r>
          </w:p>
        </w:tc>
        <w:tc>
          <w:tcPr>
            <w:tcW w:w="2316" w:type="dxa"/>
            <w:hideMark/>
          </w:tcPr>
          <w:p w14:paraId="1968F29D" w14:textId="77777777" w:rsidR="00AB4574" w:rsidRPr="00600B68" w:rsidRDefault="00AB4574" w:rsidP="00B30CB5">
            <w:pPr>
              <w:pStyle w:val="naiskr"/>
              <w:spacing w:before="0" w:after="0"/>
              <w:jc w:val="both"/>
              <w:rPr>
                <w:lang w:eastAsia="en-US"/>
              </w:rPr>
            </w:pPr>
            <w:r w:rsidRPr="00600B68">
              <w:rPr>
                <w:lang w:eastAsia="en-US"/>
              </w:rPr>
              <w:lastRenderedPageBreak/>
              <w:t xml:space="preserve">Informācija par to, vai šīs tabulas B ailē minētās projekta vienības paredz stingrākas prasības nekā šīs tabulas A ailē </w:t>
            </w:r>
            <w:r w:rsidRPr="00600B68">
              <w:rPr>
                <w:lang w:eastAsia="en-US"/>
              </w:rPr>
              <w:lastRenderedPageBreak/>
              <w:t>minētās ES tiesību akta vienības.</w:t>
            </w:r>
          </w:p>
          <w:p w14:paraId="1968F29E" w14:textId="77777777" w:rsidR="00AB4574" w:rsidRPr="00600B68" w:rsidRDefault="00AB4574" w:rsidP="00B30CB5">
            <w:pPr>
              <w:pStyle w:val="naiskr"/>
              <w:spacing w:before="0" w:after="0"/>
              <w:jc w:val="both"/>
              <w:rPr>
                <w:lang w:eastAsia="en-US"/>
              </w:rPr>
            </w:pPr>
            <w:r w:rsidRPr="00600B68">
              <w:rPr>
                <w:lang w:eastAsia="en-US"/>
              </w:rPr>
              <w:t>Ja projekts satur stingrākas prasības nekā attiecīgais ES tiesību akts, – norāda pamatojumu un samērīgumu.</w:t>
            </w:r>
          </w:p>
          <w:p w14:paraId="1968F29F" w14:textId="77777777" w:rsidR="00AB4574" w:rsidRPr="00600B68" w:rsidRDefault="00AB4574" w:rsidP="00B30CB5">
            <w:pPr>
              <w:pStyle w:val="naiskr"/>
              <w:spacing w:before="0" w:after="0"/>
              <w:jc w:val="both"/>
              <w:rPr>
                <w:lang w:eastAsia="en-US"/>
              </w:rPr>
            </w:pPr>
            <w:r w:rsidRPr="00600B68">
              <w:rPr>
                <w:lang w:eastAsia="en-US"/>
              </w:rPr>
              <w:t>Norāda iespējamās alternatīvas (t.sk. alternatīvas, kas neparedz tiesiskā regulējuma izstrādi) – kādos gadījumos būtu iespējams izvairīties no stingrāku prasību noteikšanas, nekā paredzēts attiecīgajos ES tiesību aktos.</w:t>
            </w:r>
          </w:p>
        </w:tc>
      </w:tr>
      <w:tr w:rsidR="00600B68" w:rsidRPr="00600B68" w14:paraId="1968F2A5" w14:textId="77777777" w:rsidTr="00B30CB5">
        <w:tc>
          <w:tcPr>
            <w:tcW w:w="2755" w:type="dxa"/>
            <w:vAlign w:val="center"/>
          </w:tcPr>
          <w:p w14:paraId="1968F2A1" w14:textId="77777777" w:rsidR="00AB4574" w:rsidRPr="00600B68" w:rsidRDefault="00424791" w:rsidP="00AB2080">
            <w:pPr>
              <w:spacing w:before="10"/>
              <w:ind w:left="113" w:right="113"/>
              <w:jc w:val="both"/>
            </w:pPr>
            <w:r>
              <w:lastRenderedPageBreak/>
              <w:t>Komisijas r</w:t>
            </w:r>
            <w:r w:rsidR="00AB4574" w:rsidRPr="00600B68">
              <w:t xml:space="preserve">egulas Nr. 651/2014 2. panta </w:t>
            </w:r>
            <w:r w:rsidR="00AB2080">
              <w:t>24</w:t>
            </w:r>
            <w:r w:rsidR="00AB4574" w:rsidRPr="00600B68">
              <w:t>. punkts</w:t>
            </w:r>
          </w:p>
        </w:tc>
        <w:tc>
          <w:tcPr>
            <w:tcW w:w="2126" w:type="dxa"/>
            <w:vAlign w:val="center"/>
          </w:tcPr>
          <w:p w14:paraId="1968F2A2" w14:textId="4DC8764F" w:rsidR="00AB4574" w:rsidRPr="00600B68" w:rsidRDefault="00AB4574" w:rsidP="00E24A50">
            <w:pPr>
              <w:spacing w:before="10"/>
              <w:ind w:left="113" w:right="113"/>
              <w:jc w:val="both"/>
            </w:pPr>
            <w:r w:rsidRPr="00600B68">
              <w:t xml:space="preserve">Noteikumu projekta </w:t>
            </w:r>
            <w:r w:rsidR="00AB2080">
              <w:t>3</w:t>
            </w:r>
            <w:r w:rsidRPr="00600B68">
              <w:t>. punkts (MK noteikumu</w:t>
            </w:r>
            <w:r w:rsidR="004F3C6B">
              <w:t xml:space="preserve"> </w:t>
            </w:r>
            <w:r w:rsidR="00AB2080">
              <w:t>2.12. apakšpunkts</w:t>
            </w:r>
            <w:r w:rsidRPr="00600B68">
              <w:t>)</w:t>
            </w:r>
          </w:p>
        </w:tc>
        <w:tc>
          <w:tcPr>
            <w:tcW w:w="2020" w:type="dxa"/>
            <w:vAlign w:val="center"/>
          </w:tcPr>
          <w:p w14:paraId="1968F2A3" w14:textId="77777777" w:rsidR="00AB4574" w:rsidRPr="00600B68" w:rsidRDefault="00AB4574" w:rsidP="00B30CB5">
            <w:pPr>
              <w:spacing w:before="10"/>
              <w:ind w:left="113" w:right="113"/>
              <w:jc w:val="both"/>
            </w:pPr>
            <w:r w:rsidRPr="00600B68">
              <w:t>ieviesta pilnībā</w:t>
            </w:r>
          </w:p>
        </w:tc>
        <w:tc>
          <w:tcPr>
            <w:tcW w:w="2316" w:type="dxa"/>
            <w:vAlign w:val="center"/>
          </w:tcPr>
          <w:p w14:paraId="1968F2A4" w14:textId="77777777" w:rsidR="00AB4574" w:rsidRPr="00600B68" w:rsidRDefault="00AB4574" w:rsidP="00B30CB5">
            <w:pPr>
              <w:spacing w:before="10"/>
              <w:ind w:left="113" w:right="113"/>
              <w:jc w:val="both"/>
            </w:pPr>
            <w:r w:rsidRPr="00600B68">
              <w:t>neparedz stingrākas prasības</w:t>
            </w:r>
          </w:p>
        </w:tc>
      </w:tr>
      <w:tr w:rsidR="00AB2080" w:rsidRPr="00600B68" w14:paraId="1968F2AA" w14:textId="77777777" w:rsidTr="00B30CB5">
        <w:tc>
          <w:tcPr>
            <w:tcW w:w="2755" w:type="dxa"/>
            <w:vAlign w:val="center"/>
          </w:tcPr>
          <w:p w14:paraId="1968F2A6" w14:textId="77777777" w:rsidR="00AB2080" w:rsidRDefault="00AB2080" w:rsidP="00AB2080">
            <w:pPr>
              <w:spacing w:before="10"/>
              <w:ind w:left="113" w:right="113"/>
              <w:jc w:val="both"/>
            </w:pPr>
            <w:r>
              <w:t>Komisijas r</w:t>
            </w:r>
            <w:r w:rsidRPr="00600B68">
              <w:t xml:space="preserve">egulas Nr. 651/2014 </w:t>
            </w:r>
            <w:r>
              <w:t>1. pielikums</w:t>
            </w:r>
          </w:p>
        </w:tc>
        <w:tc>
          <w:tcPr>
            <w:tcW w:w="2126" w:type="dxa"/>
            <w:vAlign w:val="center"/>
          </w:tcPr>
          <w:p w14:paraId="1968F2A7" w14:textId="1E6F9390" w:rsidR="00AB2080" w:rsidRPr="00600B68" w:rsidRDefault="00AB2080" w:rsidP="00E24A50">
            <w:pPr>
              <w:spacing w:before="10"/>
              <w:ind w:left="113" w:right="113"/>
              <w:jc w:val="both"/>
            </w:pPr>
            <w:r w:rsidRPr="00600B68">
              <w:t xml:space="preserve">Noteikumu projekta </w:t>
            </w:r>
            <w:r>
              <w:t>4</w:t>
            </w:r>
            <w:r w:rsidRPr="00600B68">
              <w:t>. punkts (MK noteikumu</w:t>
            </w:r>
            <w:r>
              <w:t xml:space="preserve"> 2.24. apakšpunkts</w:t>
            </w:r>
            <w:r w:rsidRPr="00600B68">
              <w:t>)</w:t>
            </w:r>
          </w:p>
        </w:tc>
        <w:tc>
          <w:tcPr>
            <w:tcW w:w="2020" w:type="dxa"/>
            <w:vAlign w:val="center"/>
          </w:tcPr>
          <w:p w14:paraId="1968F2A8" w14:textId="77777777" w:rsidR="00AB2080" w:rsidRPr="00600B68" w:rsidRDefault="00AB2080" w:rsidP="00AB2080">
            <w:pPr>
              <w:spacing w:before="10"/>
              <w:ind w:left="113" w:right="113"/>
              <w:jc w:val="both"/>
            </w:pPr>
            <w:r w:rsidRPr="00600B68">
              <w:t>ieviesta pilnībā</w:t>
            </w:r>
          </w:p>
        </w:tc>
        <w:tc>
          <w:tcPr>
            <w:tcW w:w="2316" w:type="dxa"/>
            <w:vAlign w:val="center"/>
          </w:tcPr>
          <w:p w14:paraId="1968F2A9" w14:textId="77777777" w:rsidR="00AB2080" w:rsidRPr="00600B68" w:rsidRDefault="00AB2080" w:rsidP="00AB2080">
            <w:pPr>
              <w:spacing w:before="10"/>
              <w:ind w:left="113" w:right="113"/>
              <w:jc w:val="both"/>
            </w:pPr>
            <w:r w:rsidRPr="00600B68">
              <w:t>neparedz stingrākas prasības</w:t>
            </w:r>
          </w:p>
        </w:tc>
      </w:tr>
      <w:tr w:rsidR="00AB2080" w:rsidRPr="00600B68" w14:paraId="1968F2AD" w14:textId="77777777" w:rsidTr="00B30CB5">
        <w:trPr>
          <w:trHeight w:val="805"/>
        </w:trPr>
        <w:tc>
          <w:tcPr>
            <w:tcW w:w="2755" w:type="dxa"/>
            <w:vAlign w:val="center"/>
            <w:hideMark/>
          </w:tcPr>
          <w:p w14:paraId="1968F2AB" w14:textId="77777777" w:rsidR="00AB2080" w:rsidRPr="00600B68" w:rsidRDefault="00AB2080" w:rsidP="00AB2080">
            <w:pPr>
              <w:ind w:left="174" w:right="149"/>
              <w:jc w:val="both"/>
            </w:pPr>
            <w:r w:rsidRPr="00600B68">
              <w:t>Kā ir izmantota ES tiesību aktā paredzētā rīcības brīvība dalībvalstij pārņemt vai ieviest noteiktas ES tiesību akta normas.</w:t>
            </w:r>
          </w:p>
        </w:tc>
        <w:tc>
          <w:tcPr>
            <w:tcW w:w="6462" w:type="dxa"/>
            <w:gridSpan w:val="3"/>
            <w:hideMark/>
          </w:tcPr>
          <w:p w14:paraId="1968F2AC" w14:textId="77777777" w:rsidR="00AB2080" w:rsidRPr="00600B68" w:rsidRDefault="00AB2080" w:rsidP="00AB2080">
            <w:pPr>
              <w:jc w:val="both"/>
            </w:pPr>
            <w:r w:rsidRPr="00600B68">
              <w:t>Noteikumu projekts šo jomu neskar.</w:t>
            </w:r>
          </w:p>
        </w:tc>
      </w:tr>
      <w:tr w:rsidR="00AB2080" w:rsidRPr="00600B68" w14:paraId="1968F2B0" w14:textId="77777777" w:rsidTr="00B30CB5">
        <w:trPr>
          <w:trHeight w:val="2934"/>
        </w:trPr>
        <w:tc>
          <w:tcPr>
            <w:tcW w:w="2755" w:type="dxa"/>
            <w:vAlign w:val="center"/>
            <w:hideMark/>
          </w:tcPr>
          <w:p w14:paraId="1968F2AE" w14:textId="77777777" w:rsidR="00AB2080" w:rsidRPr="00600B68" w:rsidRDefault="00AB2080" w:rsidP="00AB2080">
            <w:pPr>
              <w:ind w:left="174" w:right="149"/>
              <w:jc w:val="both"/>
            </w:pPr>
            <w:r w:rsidRPr="00600B68">
              <w:t>Saistības sniegt paziņojumu ES institūcijām un ES dalībvalstīm atbilstoši normatīvajiem aktiem, kas regulē informācijas sniegšanu par tehnisko noteikumu, valsts atbalsta piešķiršanas un finanšu noteikumu (attiecībā uz monetāro politiku) projektiem</w:t>
            </w:r>
          </w:p>
        </w:tc>
        <w:tc>
          <w:tcPr>
            <w:tcW w:w="6462" w:type="dxa"/>
            <w:gridSpan w:val="3"/>
            <w:hideMark/>
          </w:tcPr>
          <w:p w14:paraId="1968F2AF" w14:textId="77777777" w:rsidR="00AB2080" w:rsidRPr="00600B68" w:rsidRDefault="00AB2080" w:rsidP="00AB2080">
            <w:pPr>
              <w:jc w:val="both"/>
            </w:pPr>
            <w:r w:rsidRPr="00600B68">
              <w:t>Noteikumu projekts šo jomu neskar.</w:t>
            </w:r>
          </w:p>
        </w:tc>
      </w:tr>
      <w:tr w:rsidR="00AB2080" w:rsidRPr="00600B68" w14:paraId="1968F2B3" w14:textId="77777777" w:rsidTr="00B30CB5">
        <w:tc>
          <w:tcPr>
            <w:tcW w:w="2755" w:type="dxa"/>
            <w:hideMark/>
          </w:tcPr>
          <w:p w14:paraId="1968F2B1" w14:textId="77777777" w:rsidR="00AB2080" w:rsidRPr="00600B68" w:rsidRDefault="00AB2080" w:rsidP="00AB2080">
            <w:pPr>
              <w:ind w:left="174" w:right="149"/>
              <w:jc w:val="both"/>
            </w:pPr>
            <w:r w:rsidRPr="00600B68">
              <w:t>Cita informācija</w:t>
            </w:r>
          </w:p>
        </w:tc>
        <w:tc>
          <w:tcPr>
            <w:tcW w:w="6462" w:type="dxa"/>
            <w:gridSpan w:val="3"/>
            <w:hideMark/>
          </w:tcPr>
          <w:p w14:paraId="1968F2B2" w14:textId="77777777" w:rsidR="00AB2080" w:rsidRPr="00600B68" w:rsidRDefault="00AB2080" w:rsidP="00AB2080">
            <w:pPr>
              <w:jc w:val="both"/>
            </w:pPr>
            <w:r w:rsidRPr="00600B68">
              <w:t xml:space="preserve">Nav. </w:t>
            </w:r>
          </w:p>
        </w:tc>
      </w:tr>
    </w:tbl>
    <w:p w14:paraId="1968F2B4" w14:textId="77777777" w:rsidR="00AB4574" w:rsidRPr="00600B68" w:rsidRDefault="00AB4574" w:rsidP="004A7F10"/>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06"/>
        <w:gridCol w:w="2572"/>
        <w:gridCol w:w="6183"/>
      </w:tblGrid>
      <w:tr w:rsidR="00600B68" w:rsidRPr="00600B68" w14:paraId="1968F2B6" w14:textId="77777777" w:rsidTr="00AB4574">
        <w:trPr>
          <w:trHeight w:val="421"/>
        </w:trPr>
        <w:tc>
          <w:tcPr>
            <w:tcW w:w="5000" w:type="pct"/>
            <w:gridSpan w:val="3"/>
            <w:vAlign w:val="center"/>
          </w:tcPr>
          <w:p w14:paraId="1968F2B5" w14:textId="77777777" w:rsidR="004A7F10" w:rsidRPr="00600B68" w:rsidRDefault="004A7F10" w:rsidP="006B07D7">
            <w:pPr>
              <w:pStyle w:val="naisnod"/>
              <w:spacing w:before="0" w:beforeAutospacing="0" w:after="0" w:afterAutospacing="0"/>
              <w:ind w:left="57" w:right="57"/>
              <w:jc w:val="center"/>
            </w:pPr>
            <w:r w:rsidRPr="00600B68">
              <w:rPr>
                <w:b/>
              </w:rPr>
              <w:t>VI. Sabiedrības līdzdalība un komunikācijas aktivitātes</w:t>
            </w:r>
          </w:p>
        </w:tc>
      </w:tr>
      <w:tr w:rsidR="00600B68" w:rsidRPr="00600B68" w14:paraId="1968F2BB" w14:textId="77777777" w:rsidTr="009B6065">
        <w:trPr>
          <w:trHeight w:val="553"/>
        </w:trPr>
        <w:tc>
          <w:tcPr>
            <w:tcW w:w="169" w:type="pct"/>
          </w:tcPr>
          <w:p w14:paraId="1968F2B7" w14:textId="77777777" w:rsidR="004A7F10" w:rsidRPr="00600B68" w:rsidRDefault="004A7F10" w:rsidP="006B07D7">
            <w:pPr>
              <w:ind w:left="57" w:right="57"/>
              <w:jc w:val="both"/>
              <w:rPr>
                <w:bCs/>
              </w:rPr>
            </w:pPr>
            <w:r w:rsidRPr="00600B68">
              <w:rPr>
                <w:bCs/>
              </w:rPr>
              <w:lastRenderedPageBreak/>
              <w:t>1.</w:t>
            </w:r>
          </w:p>
        </w:tc>
        <w:tc>
          <w:tcPr>
            <w:tcW w:w="1419" w:type="pct"/>
          </w:tcPr>
          <w:p w14:paraId="1968F2B8" w14:textId="77777777" w:rsidR="004A7F10" w:rsidRPr="00600B68" w:rsidRDefault="004A7F10" w:rsidP="006B07D7">
            <w:pPr>
              <w:tabs>
                <w:tab w:val="left" w:pos="170"/>
              </w:tabs>
              <w:ind w:left="57" w:right="57"/>
            </w:pPr>
            <w:r w:rsidRPr="00600B68">
              <w:t>Plānotās sabiedrības līdzdalības un komunikācijas aktivitātes saistībā ar projektu</w:t>
            </w:r>
          </w:p>
        </w:tc>
        <w:tc>
          <w:tcPr>
            <w:tcW w:w="3412" w:type="pct"/>
          </w:tcPr>
          <w:p w14:paraId="1968F2B9" w14:textId="77777777" w:rsidR="004A7F10" w:rsidRPr="00C23FB0" w:rsidRDefault="002871D2" w:rsidP="00906145">
            <w:pPr>
              <w:shd w:val="clear" w:color="auto" w:fill="FFFFFF"/>
              <w:ind w:left="94" w:right="57"/>
              <w:jc w:val="both"/>
              <w:rPr>
                <w:rFonts w:eastAsiaTheme="minorHAnsi"/>
                <w:bCs/>
                <w:iCs/>
                <w:lang w:eastAsia="en-US"/>
              </w:rPr>
            </w:pPr>
            <w:bookmarkStart w:id="1" w:name="p61"/>
            <w:bookmarkEnd w:id="1"/>
            <w:r w:rsidRPr="00C23FB0">
              <w:rPr>
                <w:rFonts w:eastAsiaTheme="minorHAnsi"/>
                <w:bCs/>
                <w:iCs/>
                <w:lang w:eastAsia="en-US"/>
              </w:rPr>
              <w:t>Sabiedrības pārstāvji</w:t>
            </w:r>
            <w:r w:rsidR="00C3544E">
              <w:rPr>
                <w:rFonts w:eastAsiaTheme="minorHAnsi"/>
                <w:bCs/>
                <w:iCs/>
                <w:lang w:eastAsia="en-US"/>
              </w:rPr>
              <w:t>em</w:t>
            </w:r>
            <w:r w:rsidRPr="00C23FB0">
              <w:rPr>
                <w:rFonts w:eastAsiaTheme="minorHAnsi"/>
                <w:bCs/>
                <w:iCs/>
                <w:lang w:eastAsia="en-US"/>
              </w:rPr>
              <w:t xml:space="preserve"> </w:t>
            </w:r>
            <w:r w:rsidR="00117973">
              <w:rPr>
                <w:rFonts w:eastAsiaTheme="minorHAnsi"/>
                <w:bCs/>
                <w:iCs/>
                <w:lang w:eastAsia="en-US"/>
              </w:rPr>
              <w:t xml:space="preserve">tiks nodrošināta </w:t>
            </w:r>
            <w:r w:rsidR="00C3544E">
              <w:rPr>
                <w:rFonts w:eastAsiaTheme="minorHAnsi"/>
                <w:bCs/>
                <w:iCs/>
                <w:lang w:eastAsia="en-US"/>
              </w:rPr>
              <w:t xml:space="preserve">iespēja </w:t>
            </w:r>
            <w:r w:rsidRPr="00C3544E">
              <w:rPr>
                <w:rFonts w:eastAsiaTheme="minorHAnsi"/>
                <w:bCs/>
                <w:iCs/>
                <w:lang w:eastAsia="en-US"/>
              </w:rPr>
              <w:t xml:space="preserve">līdzdarboties noteikumu projekta izstrādē, sniedzot atzinumu un viedokli par noteikumu projektu, kas ievietots Izglītības un zinātnes ministrijas tīmekļa vietnē </w:t>
            </w:r>
            <w:hyperlink r:id="rId8" w:history="1">
              <w:r w:rsidR="009E5F2B" w:rsidRPr="00C23FB0">
                <w:rPr>
                  <w:rStyle w:val="Hyperlink"/>
                </w:rPr>
                <w:t>https://www.izm.gov.lv/lv/sabiedribas-lidzdaliba/sabiedriskajai-apspriesanai-nodotie-normativo-aktu-projekti</w:t>
              </w:r>
            </w:hyperlink>
            <w:r w:rsidRPr="00C23FB0">
              <w:rPr>
                <w:rFonts w:eastAsiaTheme="minorHAnsi"/>
                <w:bCs/>
                <w:iCs/>
                <w:lang w:eastAsia="en-US"/>
              </w:rPr>
              <w:t>.</w:t>
            </w:r>
          </w:p>
          <w:p w14:paraId="1968F2BA" w14:textId="77777777" w:rsidR="002F1D81" w:rsidRPr="00C3544E" w:rsidRDefault="002F1D81" w:rsidP="00AB2080">
            <w:pPr>
              <w:shd w:val="clear" w:color="auto" w:fill="FFFFFF"/>
              <w:ind w:right="57"/>
              <w:jc w:val="both"/>
            </w:pPr>
          </w:p>
        </w:tc>
      </w:tr>
      <w:tr w:rsidR="00600B68" w:rsidRPr="00600B68" w14:paraId="1968F2BF" w14:textId="77777777" w:rsidTr="009B6065">
        <w:trPr>
          <w:trHeight w:val="339"/>
        </w:trPr>
        <w:tc>
          <w:tcPr>
            <w:tcW w:w="169" w:type="pct"/>
          </w:tcPr>
          <w:p w14:paraId="1968F2BC" w14:textId="77777777" w:rsidR="004A7F10" w:rsidRPr="00600B68" w:rsidRDefault="004A7F10" w:rsidP="006B07D7">
            <w:pPr>
              <w:ind w:left="57" w:right="57"/>
              <w:jc w:val="both"/>
              <w:rPr>
                <w:bCs/>
              </w:rPr>
            </w:pPr>
            <w:r w:rsidRPr="00600B68">
              <w:rPr>
                <w:bCs/>
              </w:rPr>
              <w:t>2.</w:t>
            </w:r>
          </w:p>
        </w:tc>
        <w:tc>
          <w:tcPr>
            <w:tcW w:w="1419" w:type="pct"/>
          </w:tcPr>
          <w:p w14:paraId="1968F2BD" w14:textId="77777777" w:rsidR="004A7F10" w:rsidRPr="00600B68" w:rsidRDefault="004A7F10" w:rsidP="006B07D7">
            <w:pPr>
              <w:ind w:left="57" w:right="57"/>
            </w:pPr>
            <w:r w:rsidRPr="00600B68">
              <w:t>Sabiedrības līdzdalība projekta izstrādē</w:t>
            </w:r>
          </w:p>
        </w:tc>
        <w:tc>
          <w:tcPr>
            <w:tcW w:w="3412" w:type="pct"/>
          </w:tcPr>
          <w:p w14:paraId="1968F2BE" w14:textId="77777777" w:rsidR="004A7F10" w:rsidRPr="00C3544E" w:rsidRDefault="002871D2" w:rsidP="00117973">
            <w:pPr>
              <w:shd w:val="clear" w:color="auto" w:fill="FFFFFF"/>
              <w:ind w:left="94" w:right="57"/>
              <w:jc w:val="both"/>
              <w:rPr>
                <w:rFonts w:eastAsiaTheme="minorHAnsi"/>
                <w:bCs/>
                <w:lang w:eastAsia="en-US"/>
              </w:rPr>
            </w:pPr>
            <w:bookmarkStart w:id="2" w:name="p62"/>
            <w:bookmarkEnd w:id="2"/>
            <w:r w:rsidRPr="00C23FB0">
              <w:rPr>
                <w:rFonts w:eastAsiaTheme="minorHAnsi"/>
                <w:bCs/>
                <w:iCs/>
                <w:lang w:eastAsia="en-US"/>
              </w:rPr>
              <w:t xml:space="preserve">Sabiedrības līdzdalība noteikumu projekta izstrādē </w:t>
            </w:r>
            <w:r w:rsidR="00117973">
              <w:rPr>
                <w:rFonts w:eastAsiaTheme="minorHAnsi"/>
                <w:bCs/>
                <w:iCs/>
                <w:lang w:eastAsia="en-US"/>
              </w:rPr>
              <w:t xml:space="preserve">tiks </w:t>
            </w:r>
            <w:r w:rsidRPr="00C3544E">
              <w:rPr>
                <w:rFonts w:eastAsiaTheme="minorHAnsi"/>
                <w:bCs/>
                <w:iCs/>
                <w:lang w:eastAsia="en-US"/>
              </w:rPr>
              <w:t xml:space="preserve">nodrošināta, ievietojot noteikumu projektu tīmekļa vietnē </w:t>
            </w:r>
            <w:hyperlink r:id="rId9" w:history="1">
              <w:r w:rsidR="00117973" w:rsidRPr="00C23FB0">
                <w:rPr>
                  <w:rStyle w:val="Hyperlink"/>
                </w:rPr>
                <w:t>https://www.izm.gov.lv/lv/sabiedribas-lidzdaliba/sabiedriskajai-apspriesanai-nodotie-normativo-aktu-projekti</w:t>
              </w:r>
            </w:hyperlink>
            <w:r w:rsidR="00117973" w:rsidRPr="00C23FB0">
              <w:rPr>
                <w:rFonts w:eastAsiaTheme="minorHAnsi"/>
                <w:bCs/>
                <w:iCs/>
                <w:lang w:eastAsia="en-US"/>
              </w:rPr>
              <w:t>.</w:t>
            </w:r>
            <w:r w:rsidRPr="00C23FB0">
              <w:rPr>
                <w:rFonts w:eastAsiaTheme="minorHAnsi"/>
                <w:bCs/>
                <w:iCs/>
                <w:lang w:eastAsia="en-US"/>
              </w:rPr>
              <w:t xml:space="preserve"> un aicinot sabiedrības pārstāvjus rakstiski sniegt viedokli par noteikumu projektu tā izs</w:t>
            </w:r>
            <w:r w:rsidRPr="00C3544E">
              <w:rPr>
                <w:rFonts w:eastAsiaTheme="minorHAnsi"/>
                <w:bCs/>
                <w:iCs/>
                <w:lang w:eastAsia="en-US"/>
              </w:rPr>
              <w:t>trādes stadijā – nosūtot elektroniski uz e-past</w:t>
            </w:r>
            <w:r w:rsidR="00A25D9C" w:rsidRPr="00C3544E">
              <w:rPr>
                <w:rFonts w:eastAsiaTheme="minorHAnsi"/>
                <w:bCs/>
                <w:iCs/>
                <w:lang w:eastAsia="en-US"/>
              </w:rPr>
              <w:t>a adresi</w:t>
            </w:r>
            <w:r w:rsidRPr="00C3544E">
              <w:rPr>
                <w:rFonts w:eastAsiaTheme="minorHAnsi"/>
                <w:bCs/>
                <w:iCs/>
                <w:lang w:eastAsia="en-US"/>
              </w:rPr>
              <w:t xml:space="preserve"> </w:t>
            </w:r>
            <w:r w:rsidR="004A2355" w:rsidRPr="00C3544E">
              <w:rPr>
                <w:rFonts w:eastAsiaTheme="minorHAnsi"/>
                <w:bCs/>
                <w:iCs/>
                <w:lang w:eastAsia="en-US"/>
              </w:rPr>
              <w:t>esf@izm.gov.lv</w:t>
            </w:r>
            <w:r w:rsidRPr="00C3544E">
              <w:rPr>
                <w:rFonts w:eastAsiaTheme="minorHAnsi"/>
                <w:bCs/>
                <w:iCs/>
                <w:lang w:eastAsia="en-US"/>
              </w:rPr>
              <w:t>.</w:t>
            </w:r>
          </w:p>
        </w:tc>
      </w:tr>
      <w:tr w:rsidR="00600B68" w:rsidRPr="00600B68" w14:paraId="1968F2C3" w14:textId="77777777" w:rsidTr="009B6065">
        <w:trPr>
          <w:trHeight w:val="476"/>
        </w:trPr>
        <w:tc>
          <w:tcPr>
            <w:tcW w:w="169" w:type="pct"/>
          </w:tcPr>
          <w:p w14:paraId="1968F2C0" w14:textId="77777777" w:rsidR="004A7F10" w:rsidRPr="00600B68" w:rsidRDefault="004A7F10" w:rsidP="006B07D7">
            <w:pPr>
              <w:ind w:left="57" w:right="57"/>
              <w:jc w:val="both"/>
              <w:rPr>
                <w:bCs/>
              </w:rPr>
            </w:pPr>
            <w:r w:rsidRPr="00600B68">
              <w:rPr>
                <w:bCs/>
              </w:rPr>
              <w:t>3.</w:t>
            </w:r>
          </w:p>
        </w:tc>
        <w:tc>
          <w:tcPr>
            <w:tcW w:w="1419" w:type="pct"/>
          </w:tcPr>
          <w:p w14:paraId="1968F2C1" w14:textId="77777777" w:rsidR="004A7F10" w:rsidRPr="00600B68" w:rsidRDefault="004A7F10" w:rsidP="006B07D7">
            <w:pPr>
              <w:ind w:left="57" w:right="57"/>
            </w:pPr>
            <w:r w:rsidRPr="00600B68">
              <w:t>Sabiedrības līdzdalības rezultāti</w:t>
            </w:r>
          </w:p>
        </w:tc>
        <w:tc>
          <w:tcPr>
            <w:tcW w:w="3412" w:type="pct"/>
          </w:tcPr>
          <w:p w14:paraId="1968F2C2" w14:textId="77777777" w:rsidR="002871D2" w:rsidRPr="00600B68" w:rsidRDefault="00416F23" w:rsidP="00416F23">
            <w:pPr>
              <w:shd w:val="clear" w:color="auto" w:fill="FFFFFF"/>
              <w:tabs>
                <w:tab w:val="left" w:pos="878"/>
              </w:tabs>
              <w:ind w:left="94" w:right="57"/>
              <w:jc w:val="both"/>
            </w:pPr>
            <w:r>
              <w:rPr>
                <w:iCs/>
              </w:rPr>
              <w:t>I</w:t>
            </w:r>
            <w:r w:rsidR="006B3106" w:rsidRPr="00600B68">
              <w:rPr>
                <w:iCs/>
              </w:rPr>
              <w:t xml:space="preserve">ebildumi un priekšlikumi </w:t>
            </w:r>
            <w:r>
              <w:rPr>
                <w:iCs/>
              </w:rPr>
              <w:t>ne</w:t>
            </w:r>
            <w:r w:rsidR="00C23FB0" w:rsidRPr="00600B68">
              <w:rPr>
                <w:iCs/>
              </w:rPr>
              <w:t>tik</w:t>
            </w:r>
            <w:r w:rsidR="00C23FB0">
              <w:rPr>
                <w:iCs/>
              </w:rPr>
              <w:t>a</w:t>
            </w:r>
            <w:r w:rsidR="00C23FB0" w:rsidRPr="00600B68">
              <w:rPr>
                <w:iCs/>
              </w:rPr>
              <w:t xml:space="preserve"> </w:t>
            </w:r>
            <w:r>
              <w:rPr>
                <w:iCs/>
              </w:rPr>
              <w:t>saņemti.</w:t>
            </w:r>
          </w:p>
        </w:tc>
      </w:tr>
      <w:tr w:rsidR="00600B68" w:rsidRPr="00600B68" w14:paraId="1968F2C7" w14:textId="77777777" w:rsidTr="009B6065">
        <w:trPr>
          <w:trHeight w:val="205"/>
        </w:trPr>
        <w:tc>
          <w:tcPr>
            <w:tcW w:w="169" w:type="pct"/>
          </w:tcPr>
          <w:p w14:paraId="1968F2C4" w14:textId="77777777" w:rsidR="004A7F10" w:rsidRPr="00600B68" w:rsidRDefault="004A7F10" w:rsidP="006B07D7">
            <w:pPr>
              <w:ind w:left="57" w:right="57"/>
              <w:jc w:val="both"/>
              <w:rPr>
                <w:bCs/>
              </w:rPr>
            </w:pPr>
            <w:r w:rsidRPr="00600B68">
              <w:rPr>
                <w:bCs/>
              </w:rPr>
              <w:t>4.</w:t>
            </w:r>
          </w:p>
        </w:tc>
        <w:tc>
          <w:tcPr>
            <w:tcW w:w="1419" w:type="pct"/>
          </w:tcPr>
          <w:p w14:paraId="1968F2C5" w14:textId="77777777" w:rsidR="004A7F10" w:rsidRPr="00600B68" w:rsidRDefault="004A7F10" w:rsidP="006B07D7">
            <w:pPr>
              <w:ind w:left="57" w:right="57"/>
            </w:pPr>
            <w:r w:rsidRPr="00600B68">
              <w:t>Cita informācija</w:t>
            </w:r>
          </w:p>
        </w:tc>
        <w:tc>
          <w:tcPr>
            <w:tcW w:w="3412" w:type="pct"/>
          </w:tcPr>
          <w:p w14:paraId="1968F2C6" w14:textId="77777777" w:rsidR="004A7F10" w:rsidRPr="00600B68" w:rsidRDefault="004A7F10" w:rsidP="006B07D7">
            <w:pPr>
              <w:ind w:left="57" w:right="113" w:firstLine="37"/>
              <w:jc w:val="both"/>
            </w:pPr>
            <w:r w:rsidRPr="00600B68">
              <w:t>Nav.</w:t>
            </w:r>
          </w:p>
        </w:tc>
      </w:tr>
    </w:tbl>
    <w:p w14:paraId="1968F2C8" w14:textId="77777777" w:rsidR="004A7F10" w:rsidRPr="00600B68" w:rsidRDefault="004A7F10" w:rsidP="004A7F10">
      <w:pPr>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23"/>
        <w:gridCol w:w="2553"/>
        <w:gridCol w:w="6185"/>
      </w:tblGrid>
      <w:tr w:rsidR="00600B68" w:rsidRPr="00600B68" w14:paraId="1968F2CA" w14:textId="77777777" w:rsidTr="00867B97">
        <w:trPr>
          <w:trHeight w:val="421"/>
        </w:trPr>
        <w:tc>
          <w:tcPr>
            <w:tcW w:w="5000" w:type="pct"/>
            <w:gridSpan w:val="3"/>
            <w:vAlign w:val="center"/>
          </w:tcPr>
          <w:p w14:paraId="1968F2C9" w14:textId="77777777" w:rsidR="000952B3" w:rsidRPr="00600B68" w:rsidRDefault="00B650B7" w:rsidP="001351FC">
            <w:pPr>
              <w:pStyle w:val="naisnod"/>
              <w:spacing w:before="0" w:beforeAutospacing="0" w:after="0" w:afterAutospacing="0"/>
              <w:ind w:left="57" w:right="57"/>
              <w:jc w:val="center"/>
            </w:pPr>
            <w:r w:rsidRPr="00600B68">
              <w:rPr>
                <w:b/>
              </w:rPr>
              <w:t>VII. Tiesību akta projekta izpildes nodrošināšana un tās ietekme uz institūcijām</w:t>
            </w:r>
          </w:p>
        </w:tc>
      </w:tr>
      <w:tr w:rsidR="00600B68" w:rsidRPr="00600B68" w14:paraId="1968F2CE" w14:textId="77777777" w:rsidTr="00867B97">
        <w:trPr>
          <w:trHeight w:val="553"/>
        </w:trPr>
        <w:tc>
          <w:tcPr>
            <w:tcW w:w="178" w:type="pct"/>
          </w:tcPr>
          <w:p w14:paraId="1968F2CB" w14:textId="77777777" w:rsidR="000952B3" w:rsidRPr="00600B68" w:rsidRDefault="00B650B7" w:rsidP="001351FC">
            <w:pPr>
              <w:ind w:left="57" w:right="57"/>
              <w:jc w:val="both"/>
              <w:rPr>
                <w:bCs/>
              </w:rPr>
            </w:pPr>
            <w:r w:rsidRPr="00600B68">
              <w:rPr>
                <w:bCs/>
              </w:rPr>
              <w:t>1.</w:t>
            </w:r>
          </w:p>
        </w:tc>
        <w:tc>
          <w:tcPr>
            <w:tcW w:w="1409" w:type="pct"/>
          </w:tcPr>
          <w:p w14:paraId="1968F2CC" w14:textId="77777777" w:rsidR="000952B3" w:rsidRPr="00600B68" w:rsidRDefault="00B650B7" w:rsidP="001351FC">
            <w:pPr>
              <w:ind w:left="57" w:right="57"/>
            </w:pPr>
            <w:r w:rsidRPr="00600B68">
              <w:t>Projekta izpildē iesaistītās institūcijas</w:t>
            </w:r>
          </w:p>
        </w:tc>
        <w:tc>
          <w:tcPr>
            <w:tcW w:w="3413" w:type="pct"/>
          </w:tcPr>
          <w:p w14:paraId="1968F2CD" w14:textId="77777777" w:rsidR="002871D2" w:rsidRPr="00600B68" w:rsidRDefault="002F1D81" w:rsidP="00272F0A">
            <w:pPr>
              <w:shd w:val="clear" w:color="auto" w:fill="FFFFFF"/>
              <w:ind w:left="57" w:right="113"/>
              <w:jc w:val="both"/>
            </w:pPr>
            <w:r w:rsidRPr="00600B68">
              <w:t xml:space="preserve">Noteikumu projekta izpildi nodrošinās </w:t>
            </w:r>
            <w:r w:rsidR="00154ADC" w:rsidRPr="00600B68">
              <w:t>Izglītības un zinātnes ministrija kā atbildīgā iestāde</w:t>
            </w:r>
            <w:r w:rsidRPr="00600B68">
              <w:t xml:space="preserve"> un</w:t>
            </w:r>
            <w:r w:rsidR="004A2355" w:rsidRPr="00600B68">
              <w:t xml:space="preserve"> </w:t>
            </w:r>
            <w:r w:rsidR="00AE0D6E">
              <w:t>Centrālā finanšu un līgumu aģentūra</w:t>
            </w:r>
            <w:r w:rsidR="00AE0D6E" w:rsidRPr="00600B68">
              <w:t xml:space="preserve"> </w:t>
            </w:r>
            <w:r w:rsidR="008026E6" w:rsidRPr="00600B68">
              <w:t>kā sadarbības iestāde</w:t>
            </w:r>
            <w:r w:rsidR="008E2B4B" w:rsidRPr="00600B68">
              <w:t>.</w:t>
            </w:r>
            <w:r w:rsidR="006C27E2" w:rsidRPr="00600B68">
              <w:tab/>
            </w:r>
          </w:p>
        </w:tc>
      </w:tr>
      <w:tr w:rsidR="00600B68" w:rsidRPr="00600B68" w14:paraId="1968F2D4" w14:textId="77777777" w:rsidTr="00867B97">
        <w:trPr>
          <w:trHeight w:val="339"/>
        </w:trPr>
        <w:tc>
          <w:tcPr>
            <w:tcW w:w="178" w:type="pct"/>
          </w:tcPr>
          <w:p w14:paraId="1968F2CF" w14:textId="77777777" w:rsidR="000952B3" w:rsidRPr="00600B68" w:rsidRDefault="00B650B7" w:rsidP="001351FC">
            <w:pPr>
              <w:ind w:left="57" w:right="57"/>
              <w:jc w:val="both"/>
              <w:rPr>
                <w:bCs/>
              </w:rPr>
            </w:pPr>
            <w:r w:rsidRPr="00600B68">
              <w:rPr>
                <w:bCs/>
              </w:rPr>
              <w:t>2.</w:t>
            </w:r>
          </w:p>
        </w:tc>
        <w:tc>
          <w:tcPr>
            <w:tcW w:w="1409" w:type="pct"/>
          </w:tcPr>
          <w:p w14:paraId="1968F2D0" w14:textId="77777777" w:rsidR="000952B3" w:rsidRPr="00600B68" w:rsidRDefault="00B650B7" w:rsidP="001351FC">
            <w:pPr>
              <w:ind w:left="57" w:right="57"/>
            </w:pPr>
            <w:r w:rsidRPr="00600B68">
              <w:t xml:space="preserve">Projekta izpildes ietekme uz pārvaldes funkcijām un institucionālo struktūru. </w:t>
            </w:r>
          </w:p>
          <w:p w14:paraId="1968F2D1" w14:textId="77777777" w:rsidR="000952B3" w:rsidRPr="00600B68" w:rsidRDefault="00B650B7" w:rsidP="001351FC">
            <w:pPr>
              <w:ind w:left="57" w:right="57"/>
            </w:pPr>
            <w:r w:rsidRPr="00600B68">
              <w:t>Jaunu institūciju izveide, esošu institūciju likvidācija vai reorganizācija, to ietekme uz institūcijas cilvēkresursiem</w:t>
            </w:r>
          </w:p>
        </w:tc>
        <w:tc>
          <w:tcPr>
            <w:tcW w:w="3413" w:type="pct"/>
          </w:tcPr>
          <w:p w14:paraId="1968F2D2" w14:textId="77777777" w:rsidR="00FE7980" w:rsidRPr="00600B68" w:rsidRDefault="008026E6" w:rsidP="00A57587">
            <w:pPr>
              <w:spacing w:before="100" w:beforeAutospacing="1" w:after="100" w:afterAutospacing="1"/>
              <w:ind w:left="57" w:right="135"/>
              <w:jc w:val="both"/>
              <w:rPr>
                <w:iCs/>
              </w:rPr>
            </w:pPr>
            <w:r w:rsidRPr="00600B68">
              <w:rPr>
                <w:iCs/>
              </w:rPr>
              <w:t xml:space="preserve">Noteikumu projekta izpildes rezultātā netiek paplašinātas vai sašaurinātas esošo institūciju funkcijas, kā arī nav nepieciešams veidot jaunas institūcijas, likvidēt vai reorganizēt esošās institūcijas. </w:t>
            </w:r>
          </w:p>
          <w:p w14:paraId="1968F2D3" w14:textId="77777777" w:rsidR="000952B3" w:rsidRPr="00600B68" w:rsidRDefault="008026E6" w:rsidP="008026E6">
            <w:pPr>
              <w:spacing w:before="100" w:beforeAutospacing="1" w:after="100" w:afterAutospacing="1"/>
              <w:ind w:left="57"/>
              <w:jc w:val="both"/>
              <w:rPr>
                <w:iCs/>
              </w:rPr>
            </w:pPr>
            <w:r w:rsidRPr="00600B68">
              <w:rPr>
                <w:iCs/>
              </w:rPr>
              <w:t>Projekta izpilde nodrošināma pieejamo cilvēkresursu ietvaros.</w:t>
            </w:r>
          </w:p>
        </w:tc>
      </w:tr>
      <w:tr w:rsidR="00600B68" w:rsidRPr="00600B68" w14:paraId="1968F2D8" w14:textId="77777777" w:rsidTr="00867B97">
        <w:trPr>
          <w:trHeight w:val="476"/>
        </w:trPr>
        <w:tc>
          <w:tcPr>
            <w:tcW w:w="178" w:type="pct"/>
          </w:tcPr>
          <w:p w14:paraId="1968F2D5" w14:textId="77777777" w:rsidR="000952B3" w:rsidRPr="00600B68" w:rsidRDefault="00B650B7" w:rsidP="001351FC">
            <w:pPr>
              <w:ind w:left="57" w:right="57"/>
              <w:jc w:val="both"/>
              <w:rPr>
                <w:bCs/>
              </w:rPr>
            </w:pPr>
            <w:r w:rsidRPr="00600B68">
              <w:rPr>
                <w:bCs/>
              </w:rPr>
              <w:t>3.</w:t>
            </w:r>
          </w:p>
        </w:tc>
        <w:tc>
          <w:tcPr>
            <w:tcW w:w="1409" w:type="pct"/>
          </w:tcPr>
          <w:p w14:paraId="1968F2D6" w14:textId="77777777" w:rsidR="000952B3" w:rsidRPr="00600B68" w:rsidRDefault="00B650B7" w:rsidP="001351FC">
            <w:pPr>
              <w:ind w:left="57" w:right="57"/>
            </w:pPr>
            <w:r w:rsidRPr="00600B68">
              <w:t>Cita informācija</w:t>
            </w:r>
          </w:p>
        </w:tc>
        <w:tc>
          <w:tcPr>
            <w:tcW w:w="3413" w:type="pct"/>
          </w:tcPr>
          <w:p w14:paraId="1968F2D7" w14:textId="77777777" w:rsidR="000952B3" w:rsidRPr="00600B68" w:rsidRDefault="000A5450" w:rsidP="00FE5FE2">
            <w:pPr>
              <w:shd w:val="clear" w:color="auto" w:fill="FFFFFF"/>
              <w:ind w:left="57" w:right="113"/>
              <w:jc w:val="both"/>
            </w:pPr>
            <w:r w:rsidRPr="00600B68">
              <w:t>Nav.</w:t>
            </w:r>
          </w:p>
        </w:tc>
      </w:tr>
    </w:tbl>
    <w:p w14:paraId="1968F2D9" w14:textId="77777777" w:rsidR="007A045B" w:rsidRPr="00600B68" w:rsidRDefault="007A045B" w:rsidP="001351FC">
      <w:pPr>
        <w:rPr>
          <w:b/>
        </w:rPr>
      </w:pPr>
    </w:p>
    <w:p w14:paraId="1968F2DA" w14:textId="77777777" w:rsidR="007D4CE3" w:rsidRDefault="007D4CE3" w:rsidP="001351FC"/>
    <w:p w14:paraId="1968F2DB" w14:textId="77777777" w:rsidR="008B1C36" w:rsidRPr="00600B68" w:rsidRDefault="008B1C36" w:rsidP="001351FC"/>
    <w:p w14:paraId="1968F2DC" w14:textId="77777777" w:rsidR="004C0D3D" w:rsidRPr="00600B68" w:rsidRDefault="004C0D3D" w:rsidP="002D2BD0">
      <w:pPr>
        <w:tabs>
          <w:tab w:val="left" w:pos="3421"/>
          <w:tab w:val="left" w:pos="5100"/>
          <w:tab w:val="left" w:pos="7479"/>
        </w:tabs>
        <w:ind w:left="108"/>
      </w:pPr>
      <w:r w:rsidRPr="00600B68">
        <w:t>Izglītības un zinātnes ministre</w:t>
      </w:r>
      <w:r w:rsidRPr="00600B68">
        <w:tab/>
      </w:r>
      <w:r w:rsidRPr="00600B68">
        <w:tab/>
      </w:r>
      <w:r w:rsidRPr="00600B68">
        <w:tab/>
      </w:r>
      <w:r>
        <w:t>I.</w:t>
      </w:r>
      <w:r w:rsidRPr="00600B68">
        <w:t xml:space="preserve"> </w:t>
      </w:r>
      <w:proofErr w:type="spellStart"/>
      <w:r w:rsidRPr="00600B68">
        <w:t>Šuplinska</w:t>
      </w:r>
      <w:proofErr w:type="spellEnd"/>
    </w:p>
    <w:p w14:paraId="1968F2DD" w14:textId="77777777" w:rsidR="004C0D3D" w:rsidRPr="00600B68" w:rsidRDefault="004C0D3D" w:rsidP="001351FC">
      <w:pPr>
        <w:pStyle w:val="NormalWeb"/>
        <w:spacing w:before="0" w:beforeAutospacing="0" w:after="0" w:afterAutospacing="0"/>
      </w:pPr>
    </w:p>
    <w:p w14:paraId="1968F2DE" w14:textId="77777777" w:rsidR="004C0D3D" w:rsidRDefault="004C0D3D" w:rsidP="001351FC">
      <w:pPr>
        <w:pStyle w:val="NormalWeb"/>
        <w:spacing w:before="0" w:beforeAutospacing="0" w:after="0" w:afterAutospacing="0"/>
      </w:pPr>
    </w:p>
    <w:p w14:paraId="52B8B1E2" w14:textId="77777777" w:rsidR="00241E89" w:rsidRDefault="00241E89" w:rsidP="001351FC">
      <w:pPr>
        <w:pStyle w:val="NormalWeb"/>
        <w:spacing w:before="0" w:beforeAutospacing="0" w:after="0" w:afterAutospacing="0"/>
      </w:pPr>
    </w:p>
    <w:p w14:paraId="1968F2DF" w14:textId="77777777" w:rsidR="00117973" w:rsidRDefault="00117973" w:rsidP="00272F0A">
      <w:pPr>
        <w:pStyle w:val="NormalWeb"/>
        <w:spacing w:before="0" w:beforeAutospacing="0" w:after="0" w:afterAutospacing="0"/>
      </w:pPr>
      <w:r>
        <w:t>Vizē:</w:t>
      </w:r>
    </w:p>
    <w:p w14:paraId="1968F2E1" w14:textId="26E3A78D" w:rsidR="004C0D3D" w:rsidRPr="00600B68" w:rsidRDefault="00117973" w:rsidP="00117973">
      <w:pPr>
        <w:pStyle w:val="NormalWeb"/>
        <w:spacing w:before="0" w:beforeAutospacing="0" w:after="0" w:afterAutospacing="0"/>
      </w:pPr>
      <w:r>
        <w:t>Valsts sekretār</w:t>
      </w:r>
      <w:r w:rsidR="00A026A7">
        <w:t xml:space="preserve">s </w:t>
      </w:r>
      <w:r>
        <w:tab/>
      </w:r>
      <w:r>
        <w:tab/>
      </w:r>
      <w:r>
        <w:tab/>
      </w:r>
      <w:r>
        <w:tab/>
      </w:r>
      <w:r>
        <w:tab/>
      </w:r>
      <w:r>
        <w:tab/>
      </w:r>
      <w:r>
        <w:tab/>
      </w:r>
      <w:r>
        <w:tab/>
      </w:r>
      <w:r>
        <w:tab/>
        <w:t xml:space="preserve">J. </w:t>
      </w:r>
      <w:proofErr w:type="spellStart"/>
      <w:r>
        <w:t>Volberts</w:t>
      </w:r>
      <w:proofErr w:type="spellEnd"/>
    </w:p>
    <w:p w14:paraId="1968F2E2" w14:textId="77777777" w:rsidR="001151C4" w:rsidRDefault="001151C4" w:rsidP="00F3153D">
      <w:pPr>
        <w:tabs>
          <w:tab w:val="left" w:pos="2340"/>
          <w:tab w:val="center" w:pos="4153"/>
          <w:tab w:val="right" w:pos="8306"/>
        </w:tabs>
        <w:rPr>
          <w:sz w:val="20"/>
          <w:szCs w:val="20"/>
        </w:rPr>
      </w:pPr>
    </w:p>
    <w:p w14:paraId="1968F2E3" w14:textId="77777777" w:rsidR="008B1C36" w:rsidRDefault="008B1C36" w:rsidP="00F3153D">
      <w:pPr>
        <w:tabs>
          <w:tab w:val="left" w:pos="2340"/>
          <w:tab w:val="center" w:pos="4153"/>
          <w:tab w:val="right" w:pos="8306"/>
        </w:tabs>
        <w:rPr>
          <w:sz w:val="20"/>
          <w:szCs w:val="20"/>
        </w:rPr>
      </w:pPr>
    </w:p>
    <w:p w14:paraId="1968F2E4" w14:textId="77777777" w:rsidR="008B1C36" w:rsidRDefault="008B1C36" w:rsidP="00F3153D">
      <w:pPr>
        <w:tabs>
          <w:tab w:val="left" w:pos="2340"/>
          <w:tab w:val="center" w:pos="4153"/>
          <w:tab w:val="right" w:pos="8306"/>
        </w:tabs>
        <w:rPr>
          <w:sz w:val="20"/>
          <w:szCs w:val="20"/>
        </w:rPr>
      </w:pPr>
    </w:p>
    <w:p w14:paraId="1968F2E5" w14:textId="77777777" w:rsidR="008E23FC" w:rsidRDefault="008E23FC" w:rsidP="00F3153D">
      <w:pPr>
        <w:tabs>
          <w:tab w:val="left" w:pos="2340"/>
          <w:tab w:val="center" w:pos="4153"/>
          <w:tab w:val="right" w:pos="8306"/>
        </w:tabs>
        <w:rPr>
          <w:sz w:val="20"/>
          <w:szCs w:val="20"/>
        </w:rPr>
      </w:pPr>
    </w:p>
    <w:p w14:paraId="1968F2E6" w14:textId="77777777" w:rsidR="008E23FC" w:rsidRDefault="008E23FC" w:rsidP="00F3153D">
      <w:pPr>
        <w:tabs>
          <w:tab w:val="left" w:pos="2340"/>
          <w:tab w:val="center" w:pos="4153"/>
          <w:tab w:val="right" w:pos="8306"/>
        </w:tabs>
        <w:rPr>
          <w:sz w:val="20"/>
          <w:szCs w:val="20"/>
        </w:rPr>
      </w:pPr>
    </w:p>
    <w:p w14:paraId="1968F2F0" w14:textId="77777777" w:rsidR="008E23FC" w:rsidRDefault="008E23FC" w:rsidP="00F3153D">
      <w:pPr>
        <w:tabs>
          <w:tab w:val="left" w:pos="2340"/>
          <w:tab w:val="center" w:pos="4153"/>
          <w:tab w:val="right" w:pos="8306"/>
        </w:tabs>
        <w:rPr>
          <w:sz w:val="20"/>
          <w:szCs w:val="20"/>
        </w:rPr>
      </w:pPr>
    </w:p>
    <w:p w14:paraId="1968F2F1" w14:textId="77777777" w:rsidR="009B6065" w:rsidRPr="00600B68" w:rsidRDefault="009B6065" w:rsidP="009B6065">
      <w:pPr>
        <w:rPr>
          <w:sz w:val="20"/>
          <w:szCs w:val="20"/>
        </w:rPr>
      </w:pPr>
      <w:proofErr w:type="spellStart"/>
      <w:r w:rsidRPr="00600B68">
        <w:rPr>
          <w:sz w:val="20"/>
          <w:szCs w:val="20"/>
        </w:rPr>
        <w:t>I.Švirksta</w:t>
      </w:r>
      <w:proofErr w:type="spellEnd"/>
      <w:r w:rsidRPr="00600B68">
        <w:rPr>
          <w:sz w:val="20"/>
          <w:szCs w:val="20"/>
        </w:rPr>
        <w:t xml:space="preserve"> 67047878</w:t>
      </w:r>
    </w:p>
    <w:p w14:paraId="1968F2F2" w14:textId="77777777" w:rsidR="009B6065" w:rsidRDefault="00883109" w:rsidP="009B6065">
      <w:pPr>
        <w:tabs>
          <w:tab w:val="left" w:pos="2340"/>
          <w:tab w:val="center" w:pos="4153"/>
          <w:tab w:val="right" w:pos="8306"/>
        </w:tabs>
        <w:rPr>
          <w:rStyle w:val="Hyperlink"/>
          <w:color w:val="auto"/>
          <w:sz w:val="20"/>
          <w:szCs w:val="20"/>
        </w:rPr>
      </w:pPr>
      <w:hyperlink r:id="rId10" w:history="1">
        <w:r w:rsidR="009B6065" w:rsidRPr="00600B68">
          <w:rPr>
            <w:rStyle w:val="Hyperlink"/>
            <w:color w:val="auto"/>
            <w:sz w:val="20"/>
            <w:szCs w:val="20"/>
          </w:rPr>
          <w:t>inta.svirksta@izm.gov.lv</w:t>
        </w:r>
      </w:hyperlink>
    </w:p>
    <w:p w14:paraId="1968F2F3" w14:textId="77777777" w:rsidR="00FE7980" w:rsidRPr="00600B68" w:rsidRDefault="00FE7980" w:rsidP="00D21E5B">
      <w:pPr>
        <w:rPr>
          <w:sz w:val="20"/>
        </w:rPr>
      </w:pPr>
    </w:p>
    <w:sectPr w:rsidR="00FE7980" w:rsidRPr="00600B68" w:rsidSect="003B01C6">
      <w:headerReference w:type="default" r:id="rId11"/>
      <w:footerReference w:type="default" r:id="rId12"/>
      <w:footerReference w:type="first" r:id="rId13"/>
      <w:pgSz w:w="11906" w:h="16838"/>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867BBE" w14:textId="77777777" w:rsidR="00883109" w:rsidRDefault="00883109">
      <w:r>
        <w:separator/>
      </w:r>
    </w:p>
  </w:endnote>
  <w:endnote w:type="continuationSeparator" w:id="0">
    <w:p w14:paraId="18C88F3B" w14:textId="77777777" w:rsidR="00883109" w:rsidRDefault="00883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8F2FA" w14:textId="7F0B0FE5" w:rsidR="00B63CB1" w:rsidRPr="00521075" w:rsidRDefault="00B63CB1" w:rsidP="00176E94">
    <w:pPr>
      <w:pStyle w:val="Footer"/>
      <w:tabs>
        <w:tab w:val="clear" w:pos="8306"/>
      </w:tabs>
      <w:jc w:val="both"/>
      <w:rPr>
        <w:noProof/>
        <w:sz w:val="20"/>
        <w:szCs w:val="20"/>
      </w:rPr>
    </w:pPr>
    <w:r>
      <w:rPr>
        <w:noProof/>
        <w:sz w:val="20"/>
        <w:szCs w:val="20"/>
      </w:rPr>
      <w:fldChar w:fldCharType="begin"/>
    </w:r>
    <w:r>
      <w:rPr>
        <w:noProof/>
        <w:sz w:val="20"/>
        <w:szCs w:val="20"/>
      </w:rPr>
      <w:instrText xml:space="preserve"> FILENAME   \* MERGEFORMAT </w:instrText>
    </w:r>
    <w:r>
      <w:rPr>
        <w:noProof/>
        <w:sz w:val="20"/>
        <w:szCs w:val="20"/>
      </w:rPr>
      <w:fldChar w:fldCharType="separate"/>
    </w:r>
    <w:r w:rsidR="00CE19BC">
      <w:rPr>
        <w:noProof/>
        <w:sz w:val="20"/>
        <w:szCs w:val="20"/>
      </w:rPr>
      <w:t>IZMAnot_031220_1111</w:t>
    </w:r>
    <w:r>
      <w:rPr>
        <w:noProof/>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68F2FB" w14:textId="1E199129" w:rsidR="00B63CB1" w:rsidRPr="00AB4574" w:rsidRDefault="00B63CB1" w:rsidP="00192C5F">
    <w:pPr>
      <w:pStyle w:val="Footer"/>
      <w:jc w:val="both"/>
    </w:pPr>
    <w:r>
      <w:rPr>
        <w:noProof/>
        <w:sz w:val="20"/>
        <w:szCs w:val="20"/>
      </w:rPr>
      <w:fldChar w:fldCharType="begin"/>
    </w:r>
    <w:r>
      <w:rPr>
        <w:noProof/>
        <w:sz w:val="20"/>
        <w:szCs w:val="20"/>
      </w:rPr>
      <w:instrText xml:space="preserve"> FILENAME   \* MERGEFORMAT </w:instrText>
    </w:r>
    <w:r>
      <w:rPr>
        <w:noProof/>
        <w:sz w:val="20"/>
        <w:szCs w:val="20"/>
      </w:rPr>
      <w:fldChar w:fldCharType="separate"/>
    </w:r>
    <w:r w:rsidR="00CE19BC">
      <w:rPr>
        <w:noProof/>
        <w:sz w:val="20"/>
        <w:szCs w:val="20"/>
      </w:rPr>
      <w:t>IZMAnot_031220_1111</w:t>
    </w:r>
    <w:r>
      <w:rPr>
        <w:noProof/>
        <w:sz w:val="20"/>
        <w:szCs w:val="20"/>
      </w:rPr>
      <w:fldChar w:fldCharType="end"/>
    </w:r>
    <w:r>
      <w:rPr>
        <w:noProof/>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4D3956B" w14:textId="77777777" w:rsidR="00883109" w:rsidRDefault="00883109">
      <w:r>
        <w:separator/>
      </w:r>
    </w:p>
  </w:footnote>
  <w:footnote w:type="continuationSeparator" w:id="0">
    <w:p w14:paraId="4913C620" w14:textId="77777777" w:rsidR="00883109" w:rsidRDefault="00883109">
      <w:r>
        <w:continuationSeparator/>
      </w:r>
    </w:p>
  </w:footnote>
  <w:footnote w:id="1">
    <w:p w14:paraId="1968F2FC" w14:textId="77777777" w:rsidR="00B63CB1" w:rsidRDefault="00B63CB1" w:rsidP="001D39EA">
      <w:pPr>
        <w:pStyle w:val="FootnoteText"/>
        <w:jc w:val="both"/>
      </w:pPr>
      <w:r>
        <w:rPr>
          <w:rStyle w:val="FootnoteReference"/>
        </w:rPr>
        <w:footnoteRef/>
      </w:r>
      <w:r>
        <w:t xml:space="preserve"> </w:t>
      </w:r>
      <w:r w:rsidRPr="001D39EA">
        <w:rPr>
          <w:rFonts w:eastAsiaTheme="minorEastAsia"/>
        </w:rPr>
        <w:t>Noteikumu "Grozījumi Ministru kabineta 2016. gada 12. janvāra noteikumos Nr. 34 "Darbības programmas "Izaugsme un nodarbinātība" 1.1.1. specifiskā atbalsta mērķa "Palielināt Latvijas zinātnisko institūciju pētniecisko un inovatīvo kapacitāti un spēju piesaistīt ārējo finansējumu, ieguldot cilvēkresursos un infrastruktūrā" 1.1.1.1. pasākuma "Praktiskas ievirzes pētījumi" īstenošanas noteikumi" projekts</w:t>
      </w:r>
    </w:p>
  </w:footnote>
  <w:footnote w:id="2">
    <w:p w14:paraId="1968F2FD" w14:textId="77777777" w:rsidR="00B63CB1" w:rsidRDefault="00B63CB1">
      <w:pPr>
        <w:pStyle w:val="FootnoteText"/>
      </w:pPr>
      <w:r>
        <w:rPr>
          <w:rStyle w:val="FootnoteReference"/>
        </w:rPr>
        <w:footnoteRef/>
      </w:r>
      <w:r>
        <w:t xml:space="preserve"> </w:t>
      </w:r>
      <w:r>
        <w:t xml:space="preserve">Detāli papildu pieejamā publiskā finansējuma aprēķini sniegti anotācijas pielikuma 1. tabulā </w:t>
      </w:r>
      <w:r w:rsidRPr="00146C3F">
        <w:t>"Informācija par 1.1.1.1. pasākumam "Praktiskas ievirzes pētījumi" pārdalāmo publisko finansējumu (EUR)</w:t>
      </w:r>
      <w:r>
        <w:t>.</w:t>
      </w:r>
    </w:p>
  </w:footnote>
  <w:footnote w:id="3">
    <w:p w14:paraId="1968F2FF" w14:textId="77777777" w:rsidR="00B63CB1" w:rsidRPr="002F0DD5" w:rsidRDefault="00B63CB1" w:rsidP="009A24ED">
      <w:pPr>
        <w:pStyle w:val="FootnoteText"/>
        <w:jc w:val="both"/>
      </w:pPr>
      <w:r w:rsidRPr="002F0DD5">
        <w:rPr>
          <w:rStyle w:val="FootnoteReference"/>
        </w:rPr>
        <w:footnoteRef/>
      </w:r>
      <w:r w:rsidRPr="002F0DD5">
        <w:t xml:space="preserve">Papildu skaidrojums: </w:t>
      </w:r>
      <w:hyperlink r:id="rId1" w:history="1">
        <w:r w:rsidRPr="002F0DD5">
          <w:rPr>
            <w:rStyle w:val="Hyperlink"/>
          </w:rPr>
          <w:t>https://eur-lex.europa.eu/LexUriServ/LexUriServ.do?uri=OJ:L:2006:081:0025:0035:LV:PDF</w:t>
        </w:r>
      </w:hyperlink>
      <w:r w:rsidRPr="002F0DD5">
        <w:t xml:space="preserve"> </w:t>
      </w:r>
      <w:r w:rsidRPr="002F0DD5">
        <w:rPr>
          <w:color w:val="000000"/>
        </w:rPr>
        <w:t>"</w:t>
      </w:r>
      <w:r w:rsidRPr="002F0DD5">
        <w:t xml:space="preserve">Pirmkārt jāpasvītro, ka vispārīgos terminos un konkurences tiesību kontekstā uzņēmuma jēdziens, kā tas izriet no Tiesas (7 ) prakses, ietver jebkuru vienību, kas iesaistīta saimnieciskajā darbībā, neatkarīgi no tās tiesiskā statusa (piemēram, </w:t>
      </w:r>
      <w:r w:rsidRPr="002F0DD5">
        <w:rPr>
          <w:b/>
        </w:rPr>
        <w:t>peļņas mērķa neesamība</w:t>
      </w:r>
      <w:r w:rsidRPr="002F0DD5">
        <w:t>), no apjoma vai kārtības, kādā tā tiek finansēta, un ka jebkura darbība, kas sastāv no preču vai pakalpojumu piedāvāšanas konkrētā tirgū, ir saimnieciska darbība</w:t>
      </w:r>
      <w:r w:rsidRPr="002F0DD5">
        <w:rPr>
          <w:color w:val="000000"/>
        </w:rPr>
        <w:t>"</w:t>
      </w:r>
      <w:r w:rsidRPr="002F0DD5">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8740153"/>
      <w:docPartObj>
        <w:docPartGallery w:val="Page Numbers (Top of Page)"/>
        <w:docPartUnique/>
      </w:docPartObj>
    </w:sdtPr>
    <w:sdtEndPr>
      <w:rPr>
        <w:noProof/>
      </w:rPr>
    </w:sdtEndPr>
    <w:sdtContent>
      <w:p w14:paraId="1968F2F8" w14:textId="77777777" w:rsidR="00B63CB1" w:rsidRDefault="00B63CB1">
        <w:pPr>
          <w:pStyle w:val="Header"/>
          <w:jc w:val="center"/>
        </w:pPr>
        <w:r>
          <w:fldChar w:fldCharType="begin"/>
        </w:r>
        <w:r>
          <w:instrText xml:space="preserve"> PAGE   \* MERGEFORMAT </w:instrText>
        </w:r>
        <w:r>
          <w:fldChar w:fldCharType="separate"/>
        </w:r>
        <w:r w:rsidR="00CE19BC">
          <w:rPr>
            <w:noProof/>
          </w:rPr>
          <w:t>10</w:t>
        </w:r>
        <w:r>
          <w:rPr>
            <w:noProof/>
          </w:rPr>
          <w:fldChar w:fldCharType="end"/>
        </w:r>
      </w:p>
    </w:sdtContent>
  </w:sdt>
  <w:p w14:paraId="1968F2F9" w14:textId="77777777" w:rsidR="00B63CB1" w:rsidRDefault="00B63CB1" w:rsidP="0052108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E00A7"/>
    <w:multiLevelType w:val="hybridMultilevel"/>
    <w:tmpl w:val="B7FCBE90"/>
    <w:lvl w:ilvl="0" w:tplc="947E2E76">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D15AC9"/>
    <w:multiLevelType w:val="hybridMultilevel"/>
    <w:tmpl w:val="49080976"/>
    <w:lvl w:ilvl="0" w:tplc="04090017">
      <w:start w:val="1"/>
      <w:numFmt w:val="lowerLetter"/>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0B0F621C"/>
    <w:multiLevelType w:val="hybridMultilevel"/>
    <w:tmpl w:val="98D49D5C"/>
    <w:lvl w:ilvl="0" w:tplc="539AB96E">
      <w:start w:val="1"/>
      <w:numFmt w:val="bullet"/>
      <w:lvlText w:val=""/>
      <w:lvlJc w:val="left"/>
      <w:pPr>
        <w:ind w:left="754" w:hanging="360"/>
      </w:pPr>
      <w:rPr>
        <w:rFonts w:ascii="Symbol" w:hAnsi="Symbol" w:hint="default"/>
      </w:rPr>
    </w:lvl>
    <w:lvl w:ilvl="1" w:tplc="6198616E" w:tentative="1">
      <w:start w:val="1"/>
      <w:numFmt w:val="bullet"/>
      <w:lvlText w:val="o"/>
      <w:lvlJc w:val="left"/>
      <w:pPr>
        <w:ind w:left="1474" w:hanging="360"/>
      </w:pPr>
      <w:rPr>
        <w:rFonts w:ascii="Courier New" w:hAnsi="Courier New" w:cs="Courier New" w:hint="default"/>
      </w:rPr>
    </w:lvl>
    <w:lvl w:ilvl="2" w:tplc="3014D0EA" w:tentative="1">
      <w:start w:val="1"/>
      <w:numFmt w:val="bullet"/>
      <w:lvlText w:val=""/>
      <w:lvlJc w:val="left"/>
      <w:pPr>
        <w:ind w:left="2194" w:hanging="360"/>
      </w:pPr>
      <w:rPr>
        <w:rFonts w:ascii="Wingdings" w:hAnsi="Wingdings" w:hint="default"/>
      </w:rPr>
    </w:lvl>
    <w:lvl w:ilvl="3" w:tplc="38EE95B8" w:tentative="1">
      <w:start w:val="1"/>
      <w:numFmt w:val="bullet"/>
      <w:lvlText w:val=""/>
      <w:lvlJc w:val="left"/>
      <w:pPr>
        <w:ind w:left="2914" w:hanging="360"/>
      </w:pPr>
      <w:rPr>
        <w:rFonts w:ascii="Symbol" w:hAnsi="Symbol" w:hint="default"/>
      </w:rPr>
    </w:lvl>
    <w:lvl w:ilvl="4" w:tplc="598EFF7A" w:tentative="1">
      <w:start w:val="1"/>
      <w:numFmt w:val="bullet"/>
      <w:lvlText w:val="o"/>
      <w:lvlJc w:val="left"/>
      <w:pPr>
        <w:ind w:left="3634" w:hanging="360"/>
      </w:pPr>
      <w:rPr>
        <w:rFonts w:ascii="Courier New" w:hAnsi="Courier New" w:cs="Courier New" w:hint="default"/>
      </w:rPr>
    </w:lvl>
    <w:lvl w:ilvl="5" w:tplc="B40827D0" w:tentative="1">
      <w:start w:val="1"/>
      <w:numFmt w:val="bullet"/>
      <w:lvlText w:val=""/>
      <w:lvlJc w:val="left"/>
      <w:pPr>
        <w:ind w:left="4354" w:hanging="360"/>
      </w:pPr>
      <w:rPr>
        <w:rFonts w:ascii="Wingdings" w:hAnsi="Wingdings" w:hint="default"/>
      </w:rPr>
    </w:lvl>
    <w:lvl w:ilvl="6" w:tplc="99840C46" w:tentative="1">
      <w:start w:val="1"/>
      <w:numFmt w:val="bullet"/>
      <w:lvlText w:val=""/>
      <w:lvlJc w:val="left"/>
      <w:pPr>
        <w:ind w:left="5074" w:hanging="360"/>
      </w:pPr>
      <w:rPr>
        <w:rFonts w:ascii="Symbol" w:hAnsi="Symbol" w:hint="default"/>
      </w:rPr>
    </w:lvl>
    <w:lvl w:ilvl="7" w:tplc="48F68A4C" w:tentative="1">
      <w:start w:val="1"/>
      <w:numFmt w:val="bullet"/>
      <w:lvlText w:val="o"/>
      <w:lvlJc w:val="left"/>
      <w:pPr>
        <w:ind w:left="5794" w:hanging="360"/>
      </w:pPr>
      <w:rPr>
        <w:rFonts w:ascii="Courier New" w:hAnsi="Courier New" w:cs="Courier New" w:hint="default"/>
      </w:rPr>
    </w:lvl>
    <w:lvl w:ilvl="8" w:tplc="0284EFD8" w:tentative="1">
      <w:start w:val="1"/>
      <w:numFmt w:val="bullet"/>
      <w:lvlText w:val=""/>
      <w:lvlJc w:val="left"/>
      <w:pPr>
        <w:ind w:left="6514" w:hanging="360"/>
      </w:pPr>
      <w:rPr>
        <w:rFonts w:ascii="Wingdings" w:hAnsi="Wingdings" w:hint="default"/>
      </w:rPr>
    </w:lvl>
  </w:abstractNum>
  <w:abstractNum w:abstractNumId="3">
    <w:nsid w:val="0C3E45E5"/>
    <w:multiLevelType w:val="hybridMultilevel"/>
    <w:tmpl w:val="29BA1BEA"/>
    <w:lvl w:ilvl="0" w:tplc="5A70D97C">
      <w:numFmt w:val="bullet"/>
      <w:lvlText w:val="-"/>
      <w:lvlJc w:val="left"/>
      <w:pPr>
        <w:ind w:left="461" w:hanging="360"/>
      </w:pPr>
      <w:rPr>
        <w:rFonts w:ascii="Times New Roman" w:eastAsiaTheme="minorEastAsia" w:hAnsi="Times New Roman" w:cs="Times New Roman" w:hint="default"/>
      </w:rPr>
    </w:lvl>
    <w:lvl w:ilvl="1" w:tplc="04260003" w:tentative="1">
      <w:start w:val="1"/>
      <w:numFmt w:val="bullet"/>
      <w:lvlText w:val="o"/>
      <w:lvlJc w:val="left"/>
      <w:pPr>
        <w:ind w:left="1181" w:hanging="360"/>
      </w:pPr>
      <w:rPr>
        <w:rFonts w:ascii="Courier New" w:hAnsi="Courier New" w:cs="Courier New" w:hint="default"/>
      </w:rPr>
    </w:lvl>
    <w:lvl w:ilvl="2" w:tplc="04260005" w:tentative="1">
      <w:start w:val="1"/>
      <w:numFmt w:val="bullet"/>
      <w:lvlText w:val=""/>
      <w:lvlJc w:val="left"/>
      <w:pPr>
        <w:ind w:left="1901" w:hanging="360"/>
      </w:pPr>
      <w:rPr>
        <w:rFonts w:ascii="Wingdings" w:hAnsi="Wingdings" w:hint="default"/>
      </w:rPr>
    </w:lvl>
    <w:lvl w:ilvl="3" w:tplc="04260001" w:tentative="1">
      <w:start w:val="1"/>
      <w:numFmt w:val="bullet"/>
      <w:lvlText w:val=""/>
      <w:lvlJc w:val="left"/>
      <w:pPr>
        <w:ind w:left="2621" w:hanging="360"/>
      </w:pPr>
      <w:rPr>
        <w:rFonts w:ascii="Symbol" w:hAnsi="Symbol" w:hint="default"/>
      </w:rPr>
    </w:lvl>
    <w:lvl w:ilvl="4" w:tplc="04260003" w:tentative="1">
      <w:start w:val="1"/>
      <w:numFmt w:val="bullet"/>
      <w:lvlText w:val="o"/>
      <w:lvlJc w:val="left"/>
      <w:pPr>
        <w:ind w:left="3341" w:hanging="360"/>
      </w:pPr>
      <w:rPr>
        <w:rFonts w:ascii="Courier New" w:hAnsi="Courier New" w:cs="Courier New" w:hint="default"/>
      </w:rPr>
    </w:lvl>
    <w:lvl w:ilvl="5" w:tplc="04260005" w:tentative="1">
      <w:start w:val="1"/>
      <w:numFmt w:val="bullet"/>
      <w:lvlText w:val=""/>
      <w:lvlJc w:val="left"/>
      <w:pPr>
        <w:ind w:left="4061" w:hanging="360"/>
      </w:pPr>
      <w:rPr>
        <w:rFonts w:ascii="Wingdings" w:hAnsi="Wingdings" w:hint="default"/>
      </w:rPr>
    </w:lvl>
    <w:lvl w:ilvl="6" w:tplc="04260001" w:tentative="1">
      <w:start w:val="1"/>
      <w:numFmt w:val="bullet"/>
      <w:lvlText w:val=""/>
      <w:lvlJc w:val="left"/>
      <w:pPr>
        <w:ind w:left="4781" w:hanging="360"/>
      </w:pPr>
      <w:rPr>
        <w:rFonts w:ascii="Symbol" w:hAnsi="Symbol" w:hint="default"/>
      </w:rPr>
    </w:lvl>
    <w:lvl w:ilvl="7" w:tplc="04260003" w:tentative="1">
      <w:start w:val="1"/>
      <w:numFmt w:val="bullet"/>
      <w:lvlText w:val="o"/>
      <w:lvlJc w:val="left"/>
      <w:pPr>
        <w:ind w:left="5501" w:hanging="360"/>
      </w:pPr>
      <w:rPr>
        <w:rFonts w:ascii="Courier New" w:hAnsi="Courier New" w:cs="Courier New" w:hint="default"/>
      </w:rPr>
    </w:lvl>
    <w:lvl w:ilvl="8" w:tplc="04260005" w:tentative="1">
      <w:start w:val="1"/>
      <w:numFmt w:val="bullet"/>
      <w:lvlText w:val=""/>
      <w:lvlJc w:val="left"/>
      <w:pPr>
        <w:ind w:left="6221" w:hanging="360"/>
      </w:pPr>
      <w:rPr>
        <w:rFonts w:ascii="Wingdings" w:hAnsi="Wingdings" w:hint="default"/>
      </w:rPr>
    </w:lvl>
  </w:abstractNum>
  <w:abstractNum w:abstractNumId="4">
    <w:nsid w:val="0D133711"/>
    <w:multiLevelType w:val="hybridMultilevel"/>
    <w:tmpl w:val="6EE004F2"/>
    <w:lvl w:ilvl="0" w:tplc="C152F7CE">
      <w:start w:val="1"/>
      <w:numFmt w:val="decimal"/>
      <w:lvlText w:val="%1."/>
      <w:lvlJc w:val="left"/>
      <w:pPr>
        <w:ind w:left="720" w:hanging="360"/>
      </w:pPr>
    </w:lvl>
    <w:lvl w:ilvl="1" w:tplc="3CD067AC" w:tentative="1">
      <w:start w:val="1"/>
      <w:numFmt w:val="lowerLetter"/>
      <w:lvlText w:val="%2."/>
      <w:lvlJc w:val="left"/>
      <w:pPr>
        <w:ind w:left="1440" w:hanging="360"/>
      </w:pPr>
    </w:lvl>
    <w:lvl w:ilvl="2" w:tplc="8B163E64" w:tentative="1">
      <w:start w:val="1"/>
      <w:numFmt w:val="lowerRoman"/>
      <w:lvlText w:val="%3."/>
      <w:lvlJc w:val="right"/>
      <w:pPr>
        <w:ind w:left="2160" w:hanging="180"/>
      </w:pPr>
    </w:lvl>
    <w:lvl w:ilvl="3" w:tplc="D9E47EDE" w:tentative="1">
      <w:start w:val="1"/>
      <w:numFmt w:val="decimal"/>
      <w:lvlText w:val="%4."/>
      <w:lvlJc w:val="left"/>
      <w:pPr>
        <w:ind w:left="2880" w:hanging="360"/>
      </w:pPr>
    </w:lvl>
    <w:lvl w:ilvl="4" w:tplc="ACD87378" w:tentative="1">
      <w:start w:val="1"/>
      <w:numFmt w:val="lowerLetter"/>
      <w:lvlText w:val="%5."/>
      <w:lvlJc w:val="left"/>
      <w:pPr>
        <w:ind w:left="3600" w:hanging="360"/>
      </w:pPr>
    </w:lvl>
    <w:lvl w:ilvl="5" w:tplc="46B4CC26" w:tentative="1">
      <w:start w:val="1"/>
      <w:numFmt w:val="lowerRoman"/>
      <w:lvlText w:val="%6."/>
      <w:lvlJc w:val="right"/>
      <w:pPr>
        <w:ind w:left="4320" w:hanging="180"/>
      </w:pPr>
    </w:lvl>
    <w:lvl w:ilvl="6" w:tplc="8A2895D4" w:tentative="1">
      <w:start w:val="1"/>
      <w:numFmt w:val="decimal"/>
      <w:lvlText w:val="%7."/>
      <w:lvlJc w:val="left"/>
      <w:pPr>
        <w:ind w:left="5040" w:hanging="360"/>
      </w:pPr>
    </w:lvl>
    <w:lvl w:ilvl="7" w:tplc="50E0FBE6" w:tentative="1">
      <w:start w:val="1"/>
      <w:numFmt w:val="lowerLetter"/>
      <w:lvlText w:val="%8."/>
      <w:lvlJc w:val="left"/>
      <w:pPr>
        <w:ind w:left="5760" w:hanging="360"/>
      </w:pPr>
    </w:lvl>
    <w:lvl w:ilvl="8" w:tplc="6E30B3C0" w:tentative="1">
      <w:start w:val="1"/>
      <w:numFmt w:val="lowerRoman"/>
      <w:lvlText w:val="%9."/>
      <w:lvlJc w:val="right"/>
      <w:pPr>
        <w:ind w:left="6480" w:hanging="180"/>
      </w:pPr>
    </w:lvl>
  </w:abstractNum>
  <w:abstractNum w:abstractNumId="5">
    <w:nsid w:val="0D191B38"/>
    <w:multiLevelType w:val="hybridMultilevel"/>
    <w:tmpl w:val="84C6481C"/>
    <w:lvl w:ilvl="0" w:tplc="F2FA04E0">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D4C5E04"/>
    <w:multiLevelType w:val="hybridMultilevel"/>
    <w:tmpl w:val="2BA6FEEC"/>
    <w:lvl w:ilvl="0" w:tplc="3F5E6684">
      <w:start w:val="1"/>
      <w:numFmt w:val="decimal"/>
      <w:lvlText w:val="%1."/>
      <w:lvlJc w:val="left"/>
      <w:pPr>
        <w:ind w:left="720" w:hanging="360"/>
      </w:pPr>
    </w:lvl>
    <w:lvl w:ilvl="1" w:tplc="5C2C69A0" w:tentative="1">
      <w:start w:val="1"/>
      <w:numFmt w:val="lowerLetter"/>
      <w:lvlText w:val="%2."/>
      <w:lvlJc w:val="left"/>
      <w:pPr>
        <w:ind w:left="1440" w:hanging="360"/>
      </w:pPr>
    </w:lvl>
    <w:lvl w:ilvl="2" w:tplc="8236E16C" w:tentative="1">
      <w:start w:val="1"/>
      <w:numFmt w:val="lowerRoman"/>
      <w:lvlText w:val="%3."/>
      <w:lvlJc w:val="right"/>
      <w:pPr>
        <w:ind w:left="2160" w:hanging="180"/>
      </w:pPr>
    </w:lvl>
    <w:lvl w:ilvl="3" w:tplc="7D8A81A0" w:tentative="1">
      <w:start w:val="1"/>
      <w:numFmt w:val="decimal"/>
      <w:lvlText w:val="%4."/>
      <w:lvlJc w:val="left"/>
      <w:pPr>
        <w:ind w:left="2880" w:hanging="360"/>
      </w:pPr>
    </w:lvl>
    <w:lvl w:ilvl="4" w:tplc="49DE5DA8" w:tentative="1">
      <w:start w:val="1"/>
      <w:numFmt w:val="lowerLetter"/>
      <w:lvlText w:val="%5."/>
      <w:lvlJc w:val="left"/>
      <w:pPr>
        <w:ind w:left="3600" w:hanging="360"/>
      </w:pPr>
    </w:lvl>
    <w:lvl w:ilvl="5" w:tplc="4EA202C0" w:tentative="1">
      <w:start w:val="1"/>
      <w:numFmt w:val="lowerRoman"/>
      <w:lvlText w:val="%6."/>
      <w:lvlJc w:val="right"/>
      <w:pPr>
        <w:ind w:left="4320" w:hanging="180"/>
      </w:pPr>
    </w:lvl>
    <w:lvl w:ilvl="6" w:tplc="D5DCEF2C" w:tentative="1">
      <w:start w:val="1"/>
      <w:numFmt w:val="decimal"/>
      <w:lvlText w:val="%7."/>
      <w:lvlJc w:val="left"/>
      <w:pPr>
        <w:ind w:left="5040" w:hanging="360"/>
      </w:pPr>
    </w:lvl>
    <w:lvl w:ilvl="7" w:tplc="215C3218" w:tentative="1">
      <w:start w:val="1"/>
      <w:numFmt w:val="lowerLetter"/>
      <w:lvlText w:val="%8."/>
      <w:lvlJc w:val="left"/>
      <w:pPr>
        <w:ind w:left="5760" w:hanging="360"/>
      </w:pPr>
    </w:lvl>
    <w:lvl w:ilvl="8" w:tplc="0F243188" w:tentative="1">
      <w:start w:val="1"/>
      <w:numFmt w:val="lowerRoman"/>
      <w:lvlText w:val="%9."/>
      <w:lvlJc w:val="right"/>
      <w:pPr>
        <w:ind w:left="6480" w:hanging="180"/>
      </w:pPr>
    </w:lvl>
  </w:abstractNum>
  <w:abstractNum w:abstractNumId="7">
    <w:nsid w:val="1A5903C8"/>
    <w:multiLevelType w:val="hybridMultilevel"/>
    <w:tmpl w:val="95543244"/>
    <w:lvl w:ilvl="0" w:tplc="A866DC78">
      <w:start w:val="1"/>
      <w:numFmt w:val="bullet"/>
      <w:lvlText w:val=""/>
      <w:lvlJc w:val="left"/>
      <w:pPr>
        <w:ind w:left="777" w:hanging="360"/>
      </w:pPr>
      <w:rPr>
        <w:rFonts w:ascii="Symbol" w:hAnsi="Symbol" w:hint="default"/>
      </w:rPr>
    </w:lvl>
    <w:lvl w:ilvl="1" w:tplc="63D2D884" w:tentative="1">
      <w:start w:val="1"/>
      <w:numFmt w:val="bullet"/>
      <w:lvlText w:val="o"/>
      <w:lvlJc w:val="left"/>
      <w:pPr>
        <w:ind w:left="1497" w:hanging="360"/>
      </w:pPr>
      <w:rPr>
        <w:rFonts w:ascii="Courier New" w:hAnsi="Courier New" w:cs="Courier New" w:hint="default"/>
      </w:rPr>
    </w:lvl>
    <w:lvl w:ilvl="2" w:tplc="C6F05ECC" w:tentative="1">
      <w:start w:val="1"/>
      <w:numFmt w:val="bullet"/>
      <w:lvlText w:val=""/>
      <w:lvlJc w:val="left"/>
      <w:pPr>
        <w:ind w:left="2217" w:hanging="360"/>
      </w:pPr>
      <w:rPr>
        <w:rFonts w:ascii="Wingdings" w:hAnsi="Wingdings" w:hint="default"/>
      </w:rPr>
    </w:lvl>
    <w:lvl w:ilvl="3" w:tplc="13D2DD98" w:tentative="1">
      <w:start w:val="1"/>
      <w:numFmt w:val="bullet"/>
      <w:lvlText w:val=""/>
      <w:lvlJc w:val="left"/>
      <w:pPr>
        <w:ind w:left="2937" w:hanging="360"/>
      </w:pPr>
      <w:rPr>
        <w:rFonts w:ascii="Symbol" w:hAnsi="Symbol" w:hint="default"/>
      </w:rPr>
    </w:lvl>
    <w:lvl w:ilvl="4" w:tplc="A03CAF4C" w:tentative="1">
      <w:start w:val="1"/>
      <w:numFmt w:val="bullet"/>
      <w:lvlText w:val="o"/>
      <w:lvlJc w:val="left"/>
      <w:pPr>
        <w:ind w:left="3657" w:hanging="360"/>
      </w:pPr>
      <w:rPr>
        <w:rFonts w:ascii="Courier New" w:hAnsi="Courier New" w:cs="Courier New" w:hint="default"/>
      </w:rPr>
    </w:lvl>
    <w:lvl w:ilvl="5" w:tplc="75B8743C" w:tentative="1">
      <w:start w:val="1"/>
      <w:numFmt w:val="bullet"/>
      <w:lvlText w:val=""/>
      <w:lvlJc w:val="left"/>
      <w:pPr>
        <w:ind w:left="4377" w:hanging="360"/>
      </w:pPr>
      <w:rPr>
        <w:rFonts w:ascii="Wingdings" w:hAnsi="Wingdings" w:hint="default"/>
      </w:rPr>
    </w:lvl>
    <w:lvl w:ilvl="6" w:tplc="99E447AE" w:tentative="1">
      <w:start w:val="1"/>
      <w:numFmt w:val="bullet"/>
      <w:lvlText w:val=""/>
      <w:lvlJc w:val="left"/>
      <w:pPr>
        <w:ind w:left="5097" w:hanging="360"/>
      </w:pPr>
      <w:rPr>
        <w:rFonts w:ascii="Symbol" w:hAnsi="Symbol" w:hint="default"/>
      </w:rPr>
    </w:lvl>
    <w:lvl w:ilvl="7" w:tplc="476ED51E" w:tentative="1">
      <w:start w:val="1"/>
      <w:numFmt w:val="bullet"/>
      <w:lvlText w:val="o"/>
      <w:lvlJc w:val="left"/>
      <w:pPr>
        <w:ind w:left="5817" w:hanging="360"/>
      </w:pPr>
      <w:rPr>
        <w:rFonts w:ascii="Courier New" w:hAnsi="Courier New" w:cs="Courier New" w:hint="default"/>
      </w:rPr>
    </w:lvl>
    <w:lvl w:ilvl="8" w:tplc="8E68D1F6" w:tentative="1">
      <w:start w:val="1"/>
      <w:numFmt w:val="bullet"/>
      <w:lvlText w:val=""/>
      <w:lvlJc w:val="left"/>
      <w:pPr>
        <w:ind w:left="6537" w:hanging="360"/>
      </w:pPr>
      <w:rPr>
        <w:rFonts w:ascii="Wingdings" w:hAnsi="Wingdings" w:hint="default"/>
      </w:rPr>
    </w:lvl>
  </w:abstractNum>
  <w:abstractNum w:abstractNumId="8">
    <w:nsid w:val="1D0D3033"/>
    <w:multiLevelType w:val="hybridMultilevel"/>
    <w:tmpl w:val="94F4EC7A"/>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4EB7C61"/>
    <w:multiLevelType w:val="hybridMultilevel"/>
    <w:tmpl w:val="D1FAE87A"/>
    <w:lvl w:ilvl="0" w:tplc="0409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34874DD1"/>
    <w:multiLevelType w:val="hybridMultilevel"/>
    <w:tmpl w:val="425887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827329"/>
    <w:multiLevelType w:val="hybridMultilevel"/>
    <w:tmpl w:val="CCEC3474"/>
    <w:lvl w:ilvl="0" w:tplc="CDA4A210">
      <w:start w:val="5"/>
      <w:numFmt w:val="bullet"/>
      <w:lvlText w:val="-"/>
      <w:lvlJc w:val="left"/>
      <w:pPr>
        <w:ind w:left="417" w:hanging="360"/>
      </w:pPr>
      <w:rPr>
        <w:rFonts w:ascii="Times New Roman" w:eastAsia="Times New Roman" w:hAnsi="Times New Roman" w:cs="Times New Roman" w:hint="default"/>
        <w:sz w:val="28"/>
      </w:rPr>
    </w:lvl>
    <w:lvl w:ilvl="1" w:tplc="04260003" w:tentative="1">
      <w:start w:val="1"/>
      <w:numFmt w:val="bullet"/>
      <w:lvlText w:val="o"/>
      <w:lvlJc w:val="left"/>
      <w:pPr>
        <w:ind w:left="1137" w:hanging="360"/>
      </w:pPr>
      <w:rPr>
        <w:rFonts w:ascii="Courier New" w:hAnsi="Courier New" w:cs="Courier New" w:hint="default"/>
      </w:rPr>
    </w:lvl>
    <w:lvl w:ilvl="2" w:tplc="04260005" w:tentative="1">
      <w:start w:val="1"/>
      <w:numFmt w:val="bullet"/>
      <w:lvlText w:val=""/>
      <w:lvlJc w:val="left"/>
      <w:pPr>
        <w:ind w:left="1857" w:hanging="360"/>
      </w:pPr>
      <w:rPr>
        <w:rFonts w:ascii="Wingdings" w:hAnsi="Wingdings" w:hint="default"/>
      </w:rPr>
    </w:lvl>
    <w:lvl w:ilvl="3" w:tplc="04260001" w:tentative="1">
      <w:start w:val="1"/>
      <w:numFmt w:val="bullet"/>
      <w:lvlText w:val=""/>
      <w:lvlJc w:val="left"/>
      <w:pPr>
        <w:ind w:left="2577" w:hanging="360"/>
      </w:pPr>
      <w:rPr>
        <w:rFonts w:ascii="Symbol" w:hAnsi="Symbol" w:hint="default"/>
      </w:rPr>
    </w:lvl>
    <w:lvl w:ilvl="4" w:tplc="04260003" w:tentative="1">
      <w:start w:val="1"/>
      <w:numFmt w:val="bullet"/>
      <w:lvlText w:val="o"/>
      <w:lvlJc w:val="left"/>
      <w:pPr>
        <w:ind w:left="3297" w:hanging="360"/>
      </w:pPr>
      <w:rPr>
        <w:rFonts w:ascii="Courier New" w:hAnsi="Courier New" w:cs="Courier New" w:hint="default"/>
      </w:rPr>
    </w:lvl>
    <w:lvl w:ilvl="5" w:tplc="04260005" w:tentative="1">
      <w:start w:val="1"/>
      <w:numFmt w:val="bullet"/>
      <w:lvlText w:val=""/>
      <w:lvlJc w:val="left"/>
      <w:pPr>
        <w:ind w:left="4017" w:hanging="360"/>
      </w:pPr>
      <w:rPr>
        <w:rFonts w:ascii="Wingdings" w:hAnsi="Wingdings" w:hint="default"/>
      </w:rPr>
    </w:lvl>
    <w:lvl w:ilvl="6" w:tplc="04260001" w:tentative="1">
      <w:start w:val="1"/>
      <w:numFmt w:val="bullet"/>
      <w:lvlText w:val=""/>
      <w:lvlJc w:val="left"/>
      <w:pPr>
        <w:ind w:left="4737" w:hanging="360"/>
      </w:pPr>
      <w:rPr>
        <w:rFonts w:ascii="Symbol" w:hAnsi="Symbol" w:hint="default"/>
      </w:rPr>
    </w:lvl>
    <w:lvl w:ilvl="7" w:tplc="04260003" w:tentative="1">
      <w:start w:val="1"/>
      <w:numFmt w:val="bullet"/>
      <w:lvlText w:val="o"/>
      <w:lvlJc w:val="left"/>
      <w:pPr>
        <w:ind w:left="5457" w:hanging="360"/>
      </w:pPr>
      <w:rPr>
        <w:rFonts w:ascii="Courier New" w:hAnsi="Courier New" w:cs="Courier New" w:hint="default"/>
      </w:rPr>
    </w:lvl>
    <w:lvl w:ilvl="8" w:tplc="04260005" w:tentative="1">
      <w:start w:val="1"/>
      <w:numFmt w:val="bullet"/>
      <w:lvlText w:val=""/>
      <w:lvlJc w:val="left"/>
      <w:pPr>
        <w:ind w:left="6177" w:hanging="360"/>
      </w:pPr>
      <w:rPr>
        <w:rFonts w:ascii="Wingdings" w:hAnsi="Wingdings" w:hint="default"/>
      </w:rPr>
    </w:lvl>
  </w:abstractNum>
  <w:abstractNum w:abstractNumId="12">
    <w:nsid w:val="47821293"/>
    <w:multiLevelType w:val="hybridMultilevel"/>
    <w:tmpl w:val="91F851B8"/>
    <w:lvl w:ilvl="0" w:tplc="2DC42034">
      <w:start w:val="1"/>
      <w:numFmt w:val="decimal"/>
      <w:lvlText w:val="%1."/>
      <w:lvlJc w:val="left"/>
      <w:pPr>
        <w:ind w:left="720" w:hanging="360"/>
      </w:pPr>
    </w:lvl>
    <w:lvl w:ilvl="1" w:tplc="F2A41AC8" w:tentative="1">
      <w:start w:val="1"/>
      <w:numFmt w:val="lowerLetter"/>
      <w:lvlText w:val="%2."/>
      <w:lvlJc w:val="left"/>
      <w:pPr>
        <w:ind w:left="1440" w:hanging="360"/>
      </w:pPr>
    </w:lvl>
    <w:lvl w:ilvl="2" w:tplc="F0A69B3A" w:tentative="1">
      <w:start w:val="1"/>
      <w:numFmt w:val="lowerRoman"/>
      <w:lvlText w:val="%3."/>
      <w:lvlJc w:val="right"/>
      <w:pPr>
        <w:ind w:left="2160" w:hanging="180"/>
      </w:pPr>
    </w:lvl>
    <w:lvl w:ilvl="3" w:tplc="A39C38C6" w:tentative="1">
      <w:start w:val="1"/>
      <w:numFmt w:val="decimal"/>
      <w:lvlText w:val="%4."/>
      <w:lvlJc w:val="left"/>
      <w:pPr>
        <w:ind w:left="2880" w:hanging="360"/>
      </w:pPr>
    </w:lvl>
    <w:lvl w:ilvl="4" w:tplc="83F004FE" w:tentative="1">
      <w:start w:val="1"/>
      <w:numFmt w:val="lowerLetter"/>
      <w:lvlText w:val="%5."/>
      <w:lvlJc w:val="left"/>
      <w:pPr>
        <w:ind w:left="3600" w:hanging="360"/>
      </w:pPr>
    </w:lvl>
    <w:lvl w:ilvl="5" w:tplc="E0162AB0" w:tentative="1">
      <w:start w:val="1"/>
      <w:numFmt w:val="lowerRoman"/>
      <w:lvlText w:val="%6."/>
      <w:lvlJc w:val="right"/>
      <w:pPr>
        <w:ind w:left="4320" w:hanging="180"/>
      </w:pPr>
    </w:lvl>
    <w:lvl w:ilvl="6" w:tplc="061A63E2" w:tentative="1">
      <w:start w:val="1"/>
      <w:numFmt w:val="decimal"/>
      <w:lvlText w:val="%7."/>
      <w:lvlJc w:val="left"/>
      <w:pPr>
        <w:ind w:left="5040" w:hanging="360"/>
      </w:pPr>
    </w:lvl>
    <w:lvl w:ilvl="7" w:tplc="48BA7904" w:tentative="1">
      <w:start w:val="1"/>
      <w:numFmt w:val="lowerLetter"/>
      <w:lvlText w:val="%8."/>
      <w:lvlJc w:val="left"/>
      <w:pPr>
        <w:ind w:left="5760" w:hanging="360"/>
      </w:pPr>
    </w:lvl>
    <w:lvl w:ilvl="8" w:tplc="1D22E78A" w:tentative="1">
      <w:start w:val="1"/>
      <w:numFmt w:val="lowerRoman"/>
      <w:lvlText w:val="%9."/>
      <w:lvlJc w:val="right"/>
      <w:pPr>
        <w:ind w:left="6480" w:hanging="180"/>
      </w:pPr>
    </w:lvl>
  </w:abstractNum>
  <w:abstractNum w:abstractNumId="13">
    <w:nsid w:val="49DB13D3"/>
    <w:multiLevelType w:val="hybridMultilevel"/>
    <w:tmpl w:val="0FAC9F40"/>
    <w:lvl w:ilvl="0" w:tplc="79BEE7F8">
      <w:start w:val="1"/>
      <w:numFmt w:val="bullet"/>
      <w:lvlText w:val="-"/>
      <w:lvlJc w:val="left"/>
      <w:pPr>
        <w:ind w:left="461" w:hanging="360"/>
      </w:pPr>
      <w:rPr>
        <w:rFonts w:ascii="Times New Roman" w:eastAsiaTheme="minorEastAsia" w:hAnsi="Times New Roman" w:cs="Times New Roman" w:hint="default"/>
      </w:rPr>
    </w:lvl>
    <w:lvl w:ilvl="1" w:tplc="04260003" w:tentative="1">
      <w:start w:val="1"/>
      <w:numFmt w:val="bullet"/>
      <w:lvlText w:val="o"/>
      <w:lvlJc w:val="left"/>
      <w:pPr>
        <w:ind w:left="1181" w:hanging="360"/>
      </w:pPr>
      <w:rPr>
        <w:rFonts w:ascii="Courier New" w:hAnsi="Courier New" w:cs="Courier New" w:hint="default"/>
      </w:rPr>
    </w:lvl>
    <w:lvl w:ilvl="2" w:tplc="04260005" w:tentative="1">
      <w:start w:val="1"/>
      <w:numFmt w:val="bullet"/>
      <w:lvlText w:val=""/>
      <w:lvlJc w:val="left"/>
      <w:pPr>
        <w:ind w:left="1901" w:hanging="360"/>
      </w:pPr>
      <w:rPr>
        <w:rFonts w:ascii="Wingdings" w:hAnsi="Wingdings" w:hint="default"/>
      </w:rPr>
    </w:lvl>
    <w:lvl w:ilvl="3" w:tplc="04260001" w:tentative="1">
      <w:start w:val="1"/>
      <w:numFmt w:val="bullet"/>
      <w:lvlText w:val=""/>
      <w:lvlJc w:val="left"/>
      <w:pPr>
        <w:ind w:left="2621" w:hanging="360"/>
      </w:pPr>
      <w:rPr>
        <w:rFonts w:ascii="Symbol" w:hAnsi="Symbol" w:hint="default"/>
      </w:rPr>
    </w:lvl>
    <w:lvl w:ilvl="4" w:tplc="04260003" w:tentative="1">
      <w:start w:val="1"/>
      <w:numFmt w:val="bullet"/>
      <w:lvlText w:val="o"/>
      <w:lvlJc w:val="left"/>
      <w:pPr>
        <w:ind w:left="3341" w:hanging="360"/>
      </w:pPr>
      <w:rPr>
        <w:rFonts w:ascii="Courier New" w:hAnsi="Courier New" w:cs="Courier New" w:hint="default"/>
      </w:rPr>
    </w:lvl>
    <w:lvl w:ilvl="5" w:tplc="04260005" w:tentative="1">
      <w:start w:val="1"/>
      <w:numFmt w:val="bullet"/>
      <w:lvlText w:val=""/>
      <w:lvlJc w:val="left"/>
      <w:pPr>
        <w:ind w:left="4061" w:hanging="360"/>
      </w:pPr>
      <w:rPr>
        <w:rFonts w:ascii="Wingdings" w:hAnsi="Wingdings" w:hint="default"/>
      </w:rPr>
    </w:lvl>
    <w:lvl w:ilvl="6" w:tplc="04260001" w:tentative="1">
      <w:start w:val="1"/>
      <w:numFmt w:val="bullet"/>
      <w:lvlText w:val=""/>
      <w:lvlJc w:val="left"/>
      <w:pPr>
        <w:ind w:left="4781" w:hanging="360"/>
      </w:pPr>
      <w:rPr>
        <w:rFonts w:ascii="Symbol" w:hAnsi="Symbol" w:hint="default"/>
      </w:rPr>
    </w:lvl>
    <w:lvl w:ilvl="7" w:tplc="04260003" w:tentative="1">
      <w:start w:val="1"/>
      <w:numFmt w:val="bullet"/>
      <w:lvlText w:val="o"/>
      <w:lvlJc w:val="left"/>
      <w:pPr>
        <w:ind w:left="5501" w:hanging="360"/>
      </w:pPr>
      <w:rPr>
        <w:rFonts w:ascii="Courier New" w:hAnsi="Courier New" w:cs="Courier New" w:hint="default"/>
      </w:rPr>
    </w:lvl>
    <w:lvl w:ilvl="8" w:tplc="04260005" w:tentative="1">
      <w:start w:val="1"/>
      <w:numFmt w:val="bullet"/>
      <w:lvlText w:val=""/>
      <w:lvlJc w:val="left"/>
      <w:pPr>
        <w:ind w:left="6221" w:hanging="360"/>
      </w:pPr>
      <w:rPr>
        <w:rFonts w:ascii="Wingdings" w:hAnsi="Wingdings" w:hint="default"/>
      </w:rPr>
    </w:lvl>
  </w:abstractNum>
  <w:abstractNum w:abstractNumId="14">
    <w:nsid w:val="4D4065A2"/>
    <w:multiLevelType w:val="hybridMultilevel"/>
    <w:tmpl w:val="59DA631E"/>
    <w:lvl w:ilvl="0" w:tplc="38D006E8">
      <w:start w:val="1"/>
      <w:numFmt w:val="decimal"/>
      <w:lvlText w:val="%1."/>
      <w:lvlJc w:val="left"/>
      <w:pPr>
        <w:ind w:left="461" w:hanging="360"/>
      </w:pPr>
      <w:rPr>
        <w:rFonts w:hint="default"/>
      </w:rPr>
    </w:lvl>
    <w:lvl w:ilvl="1" w:tplc="04090019">
      <w:start w:val="1"/>
      <w:numFmt w:val="lowerLetter"/>
      <w:lvlText w:val="%2."/>
      <w:lvlJc w:val="left"/>
      <w:pPr>
        <w:ind w:left="1181" w:hanging="360"/>
      </w:pPr>
    </w:lvl>
    <w:lvl w:ilvl="2" w:tplc="0409001B" w:tentative="1">
      <w:start w:val="1"/>
      <w:numFmt w:val="lowerRoman"/>
      <w:lvlText w:val="%3."/>
      <w:lvlJc w:val="right"/>
      <w:pPr>
        <w:ind w:left="1901" w:hanging="180"/>
      </w:pPr>
    </w:lvl>
    <w:lvl w:ilvl="3" w:tplc="0409000F" w:tentative="1">
      <w:start w:val="1"/>
      <w:numFmt w:val="decimal"/>
      <w:lvlText w:val="%4."/>
      <w:lvlJc w:val="left"/>
      <w:pPr>
        <w:ind w:left="2621" w:hanging="360"/>
      </w:pPr>
    </w:lvl>
    <w:lvl w:ilvl="4" w:tplc="04090019" w:tentative="1">
      <w:start w:val="1"/>
      <w:numFmt w:val="lowerLetter"/>
      <w:lvlText w:val="%5."/>
      <w:lvlJc w:val="left"/>
      <w:pPr>
        <w:ind w:left="3341" w:hanging="360"/>
      </w:pPr>
    </w:lvl>
    <w:lvl w:ilvl="5" w:tplc="0409001B" w:tentative="1">
      <w:start w:val="1"/>
      <w:numFmt w:val="lowerRoman"/>
      <w:lvlText w:val="%6."/>
      <w:lvlJc w:val="right"/>
      <w:pPr>
        <w:ind w:left="4061" w:hanging="180"/>
      </w:pPr>
    </w:lvl>
    <w:lvl w:ilvl="6" w:tplc="0409000F" w:tentative="1">
      <w:start w:val="1"/>
      <w:numFmt w:val="decimal"/>
      <w:lvlText w:val="%7."/>
      <w:lvlJc w:val="left"/>
      <w:pPr>
        <w:ind w:left="4781" w:hanging="360"/>
      </w:pPr>
    </w:lvl>
    <w:lvl w:ilvl="7" w:tplc="04090019" w:tentative="1">
      <w:start w:val="1"/>
      <w:numFmt w:val="lowerLetter"/>
      <w:lvlText w:val="%8."/>
      <w:lvlJc w:val="left"/>
      <w:pPr>
        <w:ind w:left="5501" w:hanging="360"/>
      </w:pPr>
    </w:lvl>
    <w:lvl w:ilvl="8" w:tplc="0409001B" w:tentative="1">
      <w:start w:val="1"/>
      <w:numFmt w:val="lowerRoman"/>
      <w:lvlText w:val="%9."/>
      <w:lvlJc w:val="right"/>
      <w:pPr>
        <w:ind w:left="6221" w:hanging="180"/>
      </w:pPr>
    </w:lvl>
  </w:abstractNum>
  <w:abstractNum w:abstractNumId="15">
    <w:nsid w:val="541915C6"/>
    <w:multiLevelType w:val="hybridMultilevel"/>
    <w:tmpl w:val="C360BDB6"/>
    <w:lvl w:ilvl="0" w:tplc="3CF4B130">
      <w:start w:val="1"/>
      <w:numFmt w:val="decimal"/>
      <w:lvlText w:val="%1."/>
      <w:lvlJc w:val="left"/>
      <w:pPr>
        <w:ind w:left="720" w:hanging="360"/>
      </w:pPr>
      <w:rPr>
        <w:rFonts w:ascii="Times New Roman" w:eastAsia="Times New Roman" w:hAnsi="Times New Roman" w:cs="Times New Roman"/>
      </w:rPr>
    </w:lvl>
    <w:lvl w:ilvl="1" w:tplc="1F8C8748" w:tentative="1">
      <w:start w:val="1"/>
      <w:numFmt w:val="lowerLetter"/>
      <w:lvlText w:val="%2."/>
      <w:lvlJc w:val="left"/>
      <w:pPr>
        <w:ind w:left="1440" w:hanging="360"/>
      </w:pPr>
    </w:lvl>
    <w:lvl w:ilvl="2" w:tplc="5F48E9C2" w:tentative="1">
      <w:start w:val="1"/>
      <w:numFmt w:val="lowerRoman"/>
      <w:lvlText w:val="%3."/>
      <w:lvlJc w:val="right"/>
      <w:pPr>
        <w:ind w:left="2160" w:hanging="180"/>
      </w:pPr>
    </w:lvl>
    <w:lvl w:ilvl="3" w:tplc="7BAE4D48" w:tentative="1">
      <w:start w:val="1"/>
      <w:numFmt w:val="decimal"/>
      <w:lvlText w:val="%4."/>
      <w:lvlJc w:val="left"/>
      <w:pPr>
        <w:ind w:left="2880" w:hanging="360"/>
      </w:pPr>
    </w:lvl>
    <w:lvl w:ilvl="4" w:tplc="41F48E1E" w:tentative="1">
      <w:start w:val="1"/>
      <w:numFmt w:val="lowerLetter"/>
      <w:lvlText w:val="%5."/>
      <w:lvlJc w:val="left"/>
      <w:pPr>
        <w:ind w:left="3600" w:hanging="360"/>
      </w:pPr>
    </w:lvl>
    <w:lvl w:ilvl="5" w:tplc="B6406A0C" w:tentative="1">
      <w:start w:val="1"/>
      <w:numFmt w:val="lowerRoman"/>
      <w:lvlText w:val="%6."/>
      <w:lvlJc w:val="right"/>
      <w:pPr>
        <w:ind w:left="4320" w:hanging="180"/>
      </w:pPr>
    </w:lvl>
    <w:lvl w:ilvl="6" w:tplc="DE8646C2" w:tentative="1">
      <w:start w:val="1"/>
      <w:numFmt w:val="decimal"/>
      <w:lvlText w:val="%7."/>
      <w:lvlJc w:val="left"/>
      <w:pPr>
        <w:ind w:left="5040" w:hanging="360"/>
      </w:pPr>
    </w:lvl>
    <w:lvl w:ilvl="7" w:tplc="05923572" w:tentative="1">
      <w:start w:val="1"/>
      <w:numFmt w:val="lowerLetter"/>
      <w:lvlText w:val="%8."/>
      <w:lvlJc w:val="left"/>
      <w:pPr>
        <w:ind w:left="5760" w:hanging="360"/>
      </w:pPr>
    </w:lvl>
    <w:lvl w:ilvl="8" w:tplc="B9683AC0" w:tentative="1">
      <w:start w:val="1"/>
      <w:numFmt w:val="lowerRoman"/>
      <w:lvlText w:val="%9."/>
      <w:lvlJc w:val="right"/>
      <w:pPr>
        <w:ind w:left="6480" w:hanging="180"/>
      </w:pPr>
    </w:lvl>
  </w:abstractNum>
  <w:abstractNum w:abstractNumId="16">
    <w:nsid w:val="599A3748"/>
    <w:multiLevelType w:val="hybridMultilevel"/>
    <w:tmpl w:val="486CB8CA"/>
    <w:lvl w:ilvl="0" w:tplc="1A1E52D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E6E6BE5"/>
    <w:multiLevelType w:val="hybridMultilevel"/>
    <w:tmpl w:val="D7961880"/>
    <w:lvl w:ilvl="0" w:tplc="04090017">
      <w:start w:val="1"/>
      <w:numFmt w:val="lowerLetter"/>
      <w:lvlText w:val="%1)"/>
      <w:lvlJc w:val="left"/>
      <w:pPr>
        <w:ind w:left="821" w:hanging="360"/>
      </w:pPr>
    </w:lvl>
    <w:lvl w:ilvl="1" w:tplc="04090019" w:tentative="1">
      <w:start w:val="1"/>
      <w:numFmt w:val="lowerLetter"/>
      <w:lvlText w:val="%2."/>
      <w:lvlJc w:val="left"/>
      <w:pPr>
        <w:ind w:left="1541" w:hanging="360"/>
      </w:pPr>
    </w:lvl>
    <w:lvl w:ilvl="2" w:tplc="0409001B" w:tentative="1">
      <w:start w:val="1"/>
      <w:numFmt w:val="lowerRoman"/>
      <w:lvlText w:val="%3."/>
      <w:lvlJc w:val="right"/>
      <w:pPr>
        <w:ind w:left="2261" w:hanging="180"/>
      </w:pPr>
    </w:lvl>
    <w:lvl w:ilvl="3" w:tplc="0409000F" w:tentative="1">
      <w:start w:val="1"/>
      <w:numFmt w:val="decimal"/>
      <w:lvlText w:val="%4."/>
      <w:lvlJc w:val="left"/>
      <w:pPr>
        <w:ind w:left="2981" w:hanging="360"/>
      </w:pPr>
    </w:lvl>
    <w:lvl w:ilvl="4" w:tplc="04090019" w:tentative="1">
      <w:start w:val="1"/>
      <w:numFmt w:val="lowerLetter"/>
      <w:lvlText w:val="%5."/>
      <w:lvlJc w:val="left"/>
      <w:pPr>
        <w:ind w:left="3701" w:hanging="360"/>
      </w:pPr>
    </w:lvl>
    <w:lvl w:ilvl="5" w:tplc="0409001B" w:tentative="1">
      <w:start w:val="1"/>
      <w:numFmt w:val="lowerRoman"/>
      <w:lvlText w:val="%6."/>
      <w:lvlJc w:val="right"/>
      <w:pPr>
        <w:ind w:left="4421" w:hanging="180"/>
      </w:pPr>
    </w:lvl>
    <w:lvl w:ilvl="6" w:tplc="0409000F" w:tentative="1">
      <w:start w:val="1"/>
      <w:numFmt w:val="decimal"/>
      <w:lvlText w:val="%7."/>
      <w:lvlJc w:val="left"/>
      <w:pPr>
        <w:ind w:left="5141" w:hanging="360"/>
      </w:pPr>
    </w:lvl>
    <w:lvl w:ilvl="7" w:tplc="04090019" w:tentative="1">
      <w:start w:val="1"/>
      <w:numFmt w:val="lowerLetter"/>
      <w:lvlText w:val="%8."/>
      <w:lvlJc w:val="left"/>
      <w:pPr>
        <w:ind w:left="5861" w:hanging="360"/>
      </w:pPr>
    </w:lvl>
    <w:lvl w:ilvl="8" w:tplc="0409001B" w:tentative="1">
      <w:start w:val="1"/>
      <w:numFmt w:val="lowerRoman"/>
      <w:lvlText w:val="%9."/>
      <w:lvlJc w:val="right"/>
      <w:pPr>
        <w:ind w:left="6581" w:hanging="180"/>
      </w:pPr>
    </w:lvl>
  </w:abstractNum>
  <w:abstractNum w:abstractNumId="18">
    <w:nsid w:val="60962E29"/>
    <w:multiLevelType w:val="hybridMultilevel"/>
    <w:tmpl w:val="1DA2392E"/>
    <w:lvl w:ilvl="0" w:tplc="7EB2E2F8">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nsid w:val="61360F4B"/>
    <w:multiLevelType w:val="hybridMultilevel"/>
    <w:tmpl w:val="C3F4F898"/>
    <w:lvl w:ilvl="0" w:tplc="E84896E2">
      <w:start w:val="1"/>
      <w:numFmt w:val="bullet"/>
      <w:lvlText w:val="‒"/>
      <w:lvlJc w:val="left"/>
      <w:pPr>
        <w:ind w:left="720" w:hanging="360"/>
      </w:pPr>
      <w:rPr>
        <w:rFonts w:ascii="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62186FD9"/>
    <w:multiLevelType w:val="hybridMultilevel"/>
    <w:tmpl w:val="2CB0A9C2"/>
    <w:lvl w:ilvl="0" w:tplc="9C3C222C">
      <w:start w:val="1"/>
      <w:numFmt w:val="decimal"/>
      <w:lvlText w:val="%1."/>
      <w:lvlJc w:val="left"/>
      <w:pPr>
        <w:ind w:left="754" w:hanging="360"/>
      </w:pPr>
    </w:lvl>
    <w:lvl w:ilvl="1" w:tplc="7A963396" w:tentative="1">
      <w:start w:val="1"/>
      <w:numFmt w:val="lowerLetter"/>
      <w:lvlText w:val="%2."/>
      <w:lvlJc w:val="left"/>
      <w:pPr>
        <w:ind w:left="1474" w:hanging="360"/>
      </w:pPr>
    </w:lvl>
    <w:lvl w:ilvl="2" w:tplc="8DE88FCA" w:tentative="1">
      <w:start w:val="1"/>
      <w:numFmt w:val="lowerRoman"/>
      <w:lvlText w:val="%3."/>
      <w:lvlJc w:val="right"/>
      <w:pPr>
        <w:ind w:left="2194" w:hanging="180"/>
      </w:pPr>
    </w:lvl>
    <w:lvl w:ilvl="3" w:tplc="9D7E929E" w:tentative="1">
      <w:start w:val="1"/>
      <w:numFmt w:val="decimal"/>
      <w:lvlText w:val="%4."/>
      <w:lvlJc w:val="left"/>
      <w:pPr>
        <w:ind w:left="2914" w:hanging="360"/>
      </w:pPr>
    </w:lvl>
    <w:lvl w:ilvl="4" w:tplc="563CD118" w:tentative="1">
      <w:start w:val="1"/>
      <w:numFmt w:val="lowerLetter"/>
      <w:lvlText w:val="%5."/>
      <w:lvlJc w:val="left"/>
      <w:pPr>
        <w:ind w:left="3634" w:hanging="360"/>
      </w:pPr>
    </w:lvl>
    <w:lvl w:ilvl="5" w:tplc="144886FE" w:tentative="1">
      <w:start w:val="1"/>
      <w:numFmt w:val="lowerRoman"/>
      <w:lvlText w:val="%6."/>
      <w:lvlJc w:val="right"/>
      <w:pPr>
        <w:ind w:left="4354" w:hanging="180"/>
      </w:pPr>
    </w:lvl>
    <w:lvl w:ilvl="6" w:tplc="311A38B2" w:tentative="1">
      <w:start w:val="1"/>
      <w:numFmt w:val="decimal"/>
      <w:lvlText w:val="%7."/>
      <w:lvlJc w:val="left"/>
      <w:pPr>
        <w:ind w:left="5074" w:hanging="360"/>
      </w:pPr>
    </w:lvl>
    <w:lvl w:ilvl="7" w:tplc="62E8CBEA" w:tentative="1">
      <w:start w:val="1"/>
      <w:numFmt w:val="lowerLetter"/>
      <w:lvlText w:val="%8."/>
      <w:lvlJc w:val="left"/>
      <w:pPr>
        <w:ind w:left="5794" w:hanging="360"/>
      </w:pPr>
    </w:lvl>
    <w:lvl w:ilvl="8" w:tplc="4560D550" w:tentative="1">
      <w:start w:val="1"/>
      <w:numFmt w:val="lowerRoman"/>
      <w:lvlText w:val="%9."/>
      <w:lvlJc w:val="right"/>
      <w:pPr>
        <w:ind w:left="6514" w:hanging="180"/>
      </w:pPr>
    </w:lvl>
  </w:abstractNum>
  <w:abstractNum w:abstractNumId="21">
    <w:nsid w:val="6E416FCB"/>
    <w:multiLevelType w:val="multilevel"/>
    <w:tmpl w:val="2C08773A"/>
    <w:lvl w:ilvl="0">
      <w:start w:val="1"/>
      <w:numFmt w:val="decimal"/>
      <w:lvlText w:val="%1."/>
      <w:lvlJc w:val="left"/>
      <w:pPr>
        <w:ind w:left="720" w:hanging="720"/>
      </w:pPr>
      <w:rPr>
        <w:rFonts w:hint="default"/>
      </w:rPr>
    </w:lvl>
    <w:lvl w:ilvl="1">
      <w:start w:val="1"/>
      <w:numFmt w:val="decimal"/>
      <w:lvlText w:val="%1.%2."/>
      <w:lvlJc w:val="left"/>
      <w:pPr>
        <w:ind w:left="754" w:hanging="720"/>
      </w:pPr>
      <w:rPr>
        <w:rFonts w:hint="default"/>
      </w:rPr>
    </w:lvl>
    <w:lvl w:ilvl="2">
      <w:start w:val="1"/>
      <w:numFmt w:val="decimal"/>
      <w:lvlText w:val="%1.%2.%3."/>
      <w:lvlJc w:val="left"/>
      <w:pPr>
        <w:ind w:left="788" w:hanging="720"/>
      </w:pPr>
      <w:rPr>
        <w:rFonts w:hint="default"/>
      </w:rPr>
    </w:lvl>
    <w:lvl w:ilvl="3">
      <w:start w:val="1"/>
      <w:numFmt w:val="decimal"/>
      <w:lvlText w:val="%1.%2.%3.%4."/>
      <w:lvlJc w:val="left"/>
      <w:pPr>
        <w:ind w:left="822" w:hanging="720"/>
      </w:pPr>
      <w:rPr>
        <w:rFonts w:hint="default"/>
      </w:rPr>
    </w:lvl>
    <w:lvl w:ilvl="4">
      <w:start w:val="1"/>
      <w:numFmt w:val="decimal"/>
      <w:lvlText w:val="%1.%2.%3.%4.%5."/>
      <w:lvlJc w:val="left"/>
      <w:pPr>
        <w:ind w:left="1216" w:hanging="1080"/>
      </w:pPr>
      <w:rPr>
        <w:rFonts w:hint="default"/>
      </w:rPr>
    </w:lvl>
    <w:lvl w:ilvl="5">
      <w:start w:val="1"/>
      <w:numFmt w:val="decimal"/>
      <w:lvlText w:val="%1.%2.%3.%4.%5.%6."/>
      <w:lvlJc w:val="left"/>
      <w:pPr>
        <w:ind w:left="1250" w:hanging="1080"/>
      </w:pPr>
      <w:rPr>
        <w:rFonts w:hint="default"/>
      </w:rPr>
    </w:lvl>
    <w:lvl w:ilvl="6">
      <w:start w:val="1"/>
      <w:numFmt w:val="decimal"/>
      <w:lvlText w:val="%1.%2.%3.%4.%5.%6.%7."/>
      <w:lvlJc w:val="left"/>
      <w:pPr>
        <w:ind w:left="1644" w:hanging="1440"/>
      </w:pPr>
      <w:rPr>
        <w:rFonts w:hint="default"/>
      </w:rPr>
    </w:lvl>
    <w:lvl w:ilvl="7">
      <w:start w:val="1"/>
      <w:numFmt w:val="decimal"/>
      <w:lvlText w:val="%1.%2.%3.%4.%5.%6.%7.%8."/>
      <w:lvlJc w:val="left"/>
      <w:pPr>
        <w:ind w:left="1678" w:hanging="1440"/>
      </w:pPr>
      <w:rPr>
        <w:rFonts w:hint="default"/>
      </w:rPr>
    </w:lvl>
    <w:lvl w:ilvl="8">
      <w:start w:val="1"/>
      <w:numFmt w:val="decimal"/>
      <w:lvlText w:val="%1.%2.%3.%4.%5.%6.%7.%8.%9."/>
      <w:lvlJc w:val="left"/>
      <w:pPr>
        <w:ind w:left="2072" w:hanging="1800"/>
      </w:pPr>
      <w:rPr>
        <w:rFonts w:hint="default"/>
      </w:rPr>
    </w:lvl>
  </w:abstractNum>
  <w:abstractNum w:abstractNumId="22">
    <w:nsid w:val="70DF7BB3"/>
    <w:multiLevelType w:val="hybridMultilevel"/>
    <w:tmpl w:val="97C8386C"/>
    <w:lvl w:ilvl="0" w:tplc="0409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1C26178"/>
    <w:multiLevelType w:val="hybridMultilevel"/>
    <w:tmpl w:val="9FBED11A"/>
    <w:lvl w:ilvl="0" w:tplc="A432BC34">
      <w:start w:val="1"/>
      <w:numFmt w:val="decimal"/>
      <w:lvlText w:val="%1)"/>
      <w:lvlJc w:val="left"/>
      <w:pPr>
        <w:ind w:left="720" w:hanging="360"/>
      </w:pPr>
      <w:rPr>
        <w:rFonts w:hint="default"/>
      </w:rPr>
    </w:lvl>
    <w:lvl w:ilvl="1" w:tplc="8A4E48BA" w:tentative="1">
      <w:start w:val="1"/>
      <w:numFmt w:val="lowerLetter"/>
      <w:lvlText w:val="%2."/>
      <w:lvlJc w:val="left"/>
      <w:pPr>
        <w:ind w:left="1440" w:hanging="360"/>
      </w:pPr>
    </w:lvl>
    <w:lvl w:ilvl="2" w:tplc="8EA248BC" w:tentative="1">
      <w:start w:val="1"/>
      <w:numFmt w:val="lowerRoman"/>
      <w:lvlText w:val="%3."/>
      <w:lvlJc w:val="right"/>
      <w:pPr>
        <w:ind w:left="2160" w:hanging="180"/>
      </w:pPr>
    </w:lvl>
    <w:lvl w:ilvl="3" w:tplc="E3A611FE" w:tentative="1">
      <w:start w:val="1"/>
      <w:numFmt w:val="decimal"/>
      <w:lvlText w:val="%4."/>
      <w:lvlJc w:val="left"/>
      <w:pPr>
        <w:ind w:left="2880" w:hanging="360"/>
      </w:pPr>
    </w:lvl>
    <w:lvl w:ilvl="4" w:tplc="B554D1C0" w:tentative="1">
      <w:start w:val="1"/>
      <w:numFmt w:val="lowerLetter"/>
      <w:lvlText w:val="%5."/>
      <w:lvlJc w:val="left"/>
      <w:pPr>
        <w:ind w:left="3600" w:hanging="360"/>
      </w:pPr>
    </w:lvl>
    <w:lvl w:ilvl="5" w:tplc="6D62E65C" w:tentative="1">
      <w:start w:val="1"/>
      <w:numFmt w:val="lowerRoman"/>
      <w:lvlText w:val="%6."/>
      <w:lvlJc w:val="right"/>
      <w:pPr>
        <w:ind w:left="4320" w:hanging="180"/>
      </w:pPr>
    </w:lvl>
    <w:lvl w:ilvl="6" w:tplc="138095DE" w:tentative="1">
      <w:start w:val="1"/>
      <w:numFmt w:val="decimal"/>
      <w:lvlText w:val="%7."/>
      <w:lvlJc w:val="left"/>
      <w:pPr>
        <w:ind w:left="5040" w:hanging="360"/>
      </w:pPr>
    </w:lvl>
    <w:lvl w:ilvl="7" w:tplc="DCDC8090" w:tentative="1">
      <w:start w:val="1"/>
      <w:numFmt w:val="lowerLetter"/>
      <w:lvlText w:val="%8."/>
      <w:lvlJc w:val="left"/>
      <w:pPr>
        <w:ind w:left="5760" w:hanging="360"/>
      </w:pPr>
    </w:lvl>
    <w:lvl w:ilvl="8" w:tplc="96108AE6" w:tentative="1">
      <w:start w:val="1"/>
      <w:numFmt w:val="lowerRoman"/>
      <w:lvlText w:val="%9."/>
      <w:lvlJc w:val="right"/>
      <w:pPr>
        <w:ind w:left="6480" w:hanging="180"/>
      </w:pPr>
    </w:lvl>
  </w:abstractNum>
  <w:abstractNum w:abstractNumId="24">
    <w:nsid w:val="74F8102F"/>
    <w:multiLevelType w:val="hybridMultilevel"/>
    <w:tmpl w:val="A48283C8"/>
    <w:lvl w:ilvl="0" w:tplc="1ADE2DB0">
      <w:start w:val="1"/>
      <w:numFmt w:val="decimal"/>
      <w:lvlText w:val="%1)"/>
      <w:lvlJc w:val="left"/>
      <w:pPr>
        <w:ind w:left="720" w:hanging="360"/>
      </w:pPr>
      <w:rPr>
        <w:rFonts w:hint="default"/>
      </w:rPr>
    </w:lvl>
    <w:lvl w:ilvl="1" w:tplc="387C3560" w:tentative="1">
      <w:start w:val="1"/>
      <w:numFmt w:val="lowerLetter"/>
      <w:lvlText w:val="%2."/>
      <w:lvlJc w:val="left"/>
      <w:pPr>
        <w:ind w:left="1440" w:hanging="360"/>
      </w:pPr>
    </w:lvl>
    <w:lvl w:ilvl="2" w:tplc="0004F6AE" w:tentative="1">
      <w:start w:val="1"/>
      <w:numFmt w:val="lowerRoman"/>
      <w:lvlText w:val="%3."/>
      <w:lvlJc w:val="right"/>
      <w:pPr>
        <w:ind w:left="2160" w:hanging="180"/>
      </w:pPr>
    </w:lvl>
    <w:lvl w:ilvl="3" w:tplc="F2FC4D34" w:tentative="1">
      <w:start w:val="1"/>
      <w:numFmt w:val="decimal"/>
      <w:lvlText w:val="%4."/>
      <w:lvlJc w:val="left"/>
      <w:pPr>
        <w:ind w:left="2880" w:hanging="360"/>
      </w:pPr>
    </w:lvl>
    <w:lvl w:ilvl="4" w:tplc="544C3D16" w:tentative="1">
      <w:start w:val="1"/>
      <w:numFmt w:val="lowerLetter"/>
      <w:lvlText w:val="%5."/>
      <w:lvlJc w:val="left"/>
      <w:pPr>
        <w:ind w:left="3600" w:hanging="360"/>
      </w:pPr>
    </w:lvl>
    <w:lvl w:ilvl="5" w:tplc="C8062364" w:tentative="1">
      <w:start w:val="1"/>
      <w:numFmt w:val="lowerRoman"/>
      <w:lvlText w:val="%6."/>
      <w:lvlJc w:val="right"/>
      <w:pPr>
        <w:ind w:left="4320" w:hanging="180"/>
      </w:pPr>
    </w:lvl>
    <w:lvl w:ilvl="6" w:tplc="3EC80560" w:tentative="1">
      <w:start w:val="1"/>
      <w:numFmt w:val="decimal"/>
      <w:lvlText w:val="%7."/>
      <w:lvlJc w:val="left"/>
      <w:pPr>
        <w:ind w:left="5040" w:hanging="360"/>
      </w:pPr>
    </w:lvl>
    <w:lvl w:ilvl="7" w:tplc="6DD89586" w:tentative="1">
      <w:start w:val="1"/>
      <w:numFmt w:val="lowerLetter"/>
      <w:lvlText w:val="%8."/>
      <w:lvlJc w:val="left"/>
      <w:pPr>
        <w:ind w:left="5760" w:hanging="360"/>
      </w:pPr>
    </w:lvl>
    <w:lvl w:ilvl="8" w:tplc="D7B01546" w:tentative="1">
      <w:start w:val="1"/>
      <w:numFmt w:val="lowerRoman"/>
      <w:lvlText w:val="%9."/>
      <w:lvlJc w:val="right"/>
      <w:pPr>
        <w:ind w:left="6480" w:hanging="180"/>
      </w:pPr>
    </w:lvl>
  </w:abstractNum>
  <w:abstractNum w:abstractNumId="25">
    <w:nsid w:val="76502585"/>
    <w:multiLevelType w:val="hybridMultilevel"/>
    <w:tmpl w:val="91ACE27A"/>
    <w:lvl w:ilvl="0" w:tplc="C27E0CBA">
      <w:start w:val="1"/>
      <w:numFmt w:val="decimal"/>
      <w:lvlText w:val="%1."/>
      <w:lvlJc w:val="left"/>
      <w:pPr>
        <w:ind w:left="461" w:hanging="360"/>
      </w:pPr>
      <w:rPr>
        <w:rFonts w:hint="default"/>
      </w:rPr>
    </w:lvl>
    <w:lvl w:ilvl="1" w:tplc="04260019" w:tentative="1">
      <w:start w:val="1"/>
      <w:numFmt w:val="lowerLetter"/>
      <w:lvlText w:val="%2."/>
      <w:lvlJc w:val="left"/>
      <w:pPr>
        <w:ind w:left="1181" w:hanging="360"/>
      </w:pPr>
    </w:lvl>
    <w:lvl w:ilvl="2" w:tplc="0426001B" w:tentative="1">
      <w:start w:val="1"/>
      <w:numFmt w:val="lowerRoman"/>
      <w:lvlText w:val="%3."/>
      <w:lvlJc w:val="right"/>
      <w:pPr>
        <w:ind w:left="1901" w:hanging="180"/>
      </w:pPr>
    </w:lvl>
    <w:lvl w:ilvl="3" w:tplc="0426000F" w:tentative="1">
      <w:start w:val="1"/>
      <w:numFmt w:val="decimal"/>
      <w:lvlText w:val="%4."/>
      <w:lvlJc w:val="left"/>
      <w:pPr>
        <w:ind w:left="2621" w:hanging="360"/>
      </w:pPr>
    </w:lvl>
    <w:lvl w:ilvl="4" w:tplc="04260019" w:tentative="1">
      <w:start w:val="1"/>
      <w:numFmt w:val="lowerLetter"/>
      <w:lvlText w:val="%5."/>
      <w:lvlJc w:val="left"/>
      <w:pPr>
        <w:ind w:left="3341" w:hanging="360"/>
      </w:pPr>
    </w:lvl>
    <w:lvl w:ilvl="5" w:tplc="0426001B" w:tentative="1">
      <w:start w:val="1"/>
      <w:numFmt w:val="lowerRoman"/>
      <w:lvlText w:val="%6."/>
      <w:lvlJc w:val="right"/>
      <w:pPr>
        <w:ind w:left="4061" w:hanging="180"/>
      </w:pPr>
    </w:lvl>
    <w:lvl w:ilvl="6" w:tplc="0426000F" w:tentative="1">
      <w:start w:val="1"/>
      <w:numFmt w:val="decimal"/>
      <w:lvlText w:val="%7."/>
      <w:lvlJc w:val="left"/>
      <w:pPr>
        <w:ind w:left="4781" w:hanging="360"/>
      </w:pPr>
    </w:lvl>
    <w:lvl w:ilvl="7" w:tplc="04260019" w:tentative="1">
      <w:start w:val="1"/>
      <w:numFmt w:val="lowerLetter"/>
      <w:lvlText w:val="%8."/>
      <w:lvlJc w:val="left"/>
      <w:pPr>
        <w:ind w:left="5501" w:hanging="360"/>
      </w:pPr>
    </w:lvl>
    <w:lvl w:ilvl="8" w:tplc="0426001B" w:tentative="1">
      <w:start w:val="1"/>
      <w:numFmt w:val="lowerRoman"/>
      <w:lvlText w:val="%9."/>
      <w:lvlJc w:val="right"/>
      <w:pPr>
        <w:ind w:left="6221" w:hanging="180"/>
      </w:pPr>
    </w:lvl>
  </w:abstractNum>
  <w:abstractNum w:abstractNumId="26">
    <w:nsid w:val="7F7619F5"/>
    <w:multiLevelType w:val="hybridMultilevel"/>
    <w:tmpl w:val="C758ED3C"/>
    <w:lvl w:ilvl="0" w:tplc="A9F0EC62">
      <w:start w:val="1"/>
      <w:numFmt w:val="decimal"/>
      <w:lvlText w:val="%1)"/>
      <w:lvlJc w:val="left"/>
      <w:pPr>
        <w:ind w:left="720" w:hanging="360"/>
      </w:pPr>
      <w:rPr>
        <w:rFonts w:hint="default"/>
      </w:rPr>
    </w:lvl>
    <w:lvl w:ilvl="1" w:tplc="EC7037BA" w:tentative="1">
      <w:start w:val="1"/>
      <w:numFmt w:val="lowerLetter"/>
      <w:lvlText w:val="%2."/>
      <w:lvlJc w:val="left"/>
      <w:pPr>
        <w:ind w:left="1440" w:hanging="360"/>
      </w:pPr>
    </w:lvl>
    <w:lvl w:ilvl="2" w:tplc="5820178A" w:tentative="1">
      <w:start w:val="1"/>
      <w:numFmt w:val="lowerRoman"/>
      <w:lvlText w:val="%3."/>
      <w:lvlJc w:val="right"/>
      <w:pPr>
        <w:ind w:left="2160" w:hanging="180"/>
      </w:pPr>
    </w:lvl>
    <w:lvl w:ilvl="3" w:tplc="8B1AF176" w:tentative="1">
      <w:start w:val="1"/>
      <w:numFmt w:val="decimal"/>
      <w:lvlText w:val="%4."/>
      <w:lvlJc w:val="left"/>
      <w:pPr>
        <w:ind w:left="2880" w:hanging="360"/>
      </w:pPr>
    </w:lvl>
    <w:lvl w:ilvl="4" w:tplc="D32CC9B8" w:tentative="1">
      <w:start w:val="1"/>
      <w:numFmt w:val="lowerLetter"/>
      <w:lvlText w:val="%5."/>
      <w:lvlJc w:val="left"/>
      <w:pPr>
        <w:ind w:left="3600" w:hanging="360"/>
      </w:pPr>
    </w:lvl>
    <w:lvl w:ilvl="5" w:tplc="3778557C" w:tentative="1">
      <w:start w:val="1"/>
      <w:numFmt w:val="lowerRoman"/>
      <w:lvlText w:val="%6."/>
      <w:lvlJc w:val="right"/>
      <w:pPr>
        <w:ind w:left="4320" w:hanging="180"/>
      </w:pPr>
    </w:lvl>
    <w:lvl w:ilvl="6" w:tplc="0FFEEEB4" w:tentative="1">
      <w:start w:val="1"/>
      <w:numFmt w:val="decimal"/>
      <w:lvlText w:val="%7."/>
      <w:lvlJc w:val="left"/>
      <w:pPr>
        <w:ind w:left="5040" w:hanging="360"/>
      </w:pPr>
    </w:lvl>
    <w:lvl w:ilvl="7" w:tplc="1DC8F246" w:tentative="1">
      <w:start w:val="1"/>
      <w:numFmt w:val="lowerLetter"/>
      <w:lvlText w:val="%8."/>
      <w:lvlJc w:val="left"/>
      <w:pPr>
        <w:ind w:left="5760" w:hanging="360"/>
      </w:pPr>
    </w:lvl>
    <w:lvl w:ilvl="8" w:tplc="FF1EDB62" w:tentative="1">
      <w:start w:val="1"/>
      <w:numFmt w:val="lowerRoman"/>
      <w:lvlText w:val="%9."/>
      <w:lvlJc w:val="right"/>
      <w:pPr>
        <w:ind w:left="6480" w:hanging="180"/>
      </w:pPr>
    </w:lvl>
  </w:abstractNum>
  <w:num w:numId="1">
    <w:abstractNumId w:val="20"/>
  </w:num>
  <w:num w:numId="2">
    <w:abstractNumId w:val="4"/>
  </w:num>
  <w:num w:numId="3">
    <w:abstractNumId w:val="6"/>
  </w:num>
  <w:num w:numId="4">
    <w:abstractNumId w:val="12"/>
  </w:num>
  <w:num w:numId="5">
    <w:abstractNumId w:val="7"/>
  </w:num>
  <w:num w:numId="6">
    <w:abstractNumId w:val="15"/>
  </w:num>
  <w:num w:numId="7">
    <w:abstractNumId w:val="2"/>
  </w:num>
  <w:num w:numId="8">
    <w:abstractNumId w:val="24"/>
  </w:num>
  <w:num w:numId="9">
    <w:abstractNumId w:val="26"/>
  </w:num>
  <w:num w:numId="10">
    <w:abstractNumId w:val="23"/>
  </w:num>
  <w:num w:numId="11">
    <w:abstractNumId w:val="11"/>
  </w:num>
  <w:num w:numId="12">
    <w:abstractNumId w:val="16"/>
  </w:num>
  <w:num w:numId="13">
    <w:abstractNumId w:val="0"/>
  </w:num>
  <w:num w:numId="14">
    <w:abstractNumId w:val="19"/>
  </w:num>
  <w:num w:numId="15">
    <w:abstractNumId w:val="10"/>
  </w:num>
  <w:num w:numId="16">
    <w:abstractNumId w:val="5"/>
  </w:num>
  <w:num w:numId="17">
    <w:abstractNumId w:val="8"/>
  </w:num>
  <w:num w:numId="18">
    <w:abstractNumId w:val="22"/>
  </w:num>
  <w:num w:numId="19">
    <w:abstractNumId w:val="9"/>
  </w:num>
  <w:num w:numId="20">
    <w:abstractNumId w:val="14"/>
  </w:num>
  <w:num w:numId="21">
    <w:abstractNumId w:val="1"/>
  </w:num>
  <w:num w:numId="22">
    <w:abstractNumId w:val="18"/>
  </w:num>
  <w:num w:numId="23">
    <w:abstractNumId w:val="17"/>
  </w:num>
  <w:num w:numId="24">
    <w:abstractNumId w:val="13"/>
  </w:num>
  <w:num w:numId="25">
    <w:abstractNumId w:val="25"/>
  </w:num>
  <w:num w:numId="26">
    <w:abstractNumId w:val="3"/>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701C"/>
    <w:rsid w:val="000006D4"/>
    <w:rsid w:val="00000B7A"/>
    <w:rsid w:val="00006F0F"/>
    <w:rsid w:val="000168A6"/>
    <w:rsid w:val="00017924"/>
    <w:rsid w:val="000203E5"/>
    <w:rsid w:val="000249D6"/>
    <w:rsid w:val="00027BAD"/>
    <w:rsid w:val="00031DD1"/>
    <w:rsid w:val="00036F3D"/>
    <w:rsid w:val="00041814"/>
    <w:rsid w:val="00042842"/>
    <w:rsid w:val="00044224"/>
    <w:rsid w:val="00044C80"/>
    <w:rsid w:val="00046435"/>
    <w:rsid w:val="00047A59"/>
    <w:rsid w:val="00052921"/>
    <w:rsid w:val="000532A9"/>
    <w:rsid w:val="00055596"/>
    <w:rsid w:val="00055FF5"/>
    <w:rsid w:val="000570D3"/>
    <w:rsid w:val="00060804"/>
    <w:rsid w:val="00061975"/>
    <w:rsid w:val="0006326D"/>
    <w:rsid w:val="000644ED"/>
    <w:rsid w:val="00066596"/>
    <w:rsid w:val="000717F0"/>
    <w:rsid w:val="00071F0E"/>
    <w:rsid w:val="000726BF"/>
    <w:rsid w:val="00073C8B"/>
    <w:rsid w:val="00085D80"/>
    <w:rsid w:val="000864C7"/>
    <w:rsid w:val="00092CEF"/>
    <w:rsid w:val="00094B40"/>
    <w:rsid w:val="000952B3"/>
    <w:rsid w:val="000A4EDF"/>
    <w:rsid w:val="000A5450"/>
    <w:rsid w:val="000A7A0E"/>
    <w:rsid w:val="000B2EE9"/>
    <w:rsid w:val="000C127A"/>
    <w:rsid w:val="000D074F"/>
    <w:rsid w:val="000D24CB"/>
    <w:rsid w:val="000E7C62"/>
    <w:rsid w:val="000F01C5"/>
    <w:rsid w:val="000F2179"/>
    <w:rsid w:val="000F21B1"/>
    <w:rsid w:val="000F2D2A"/>
    <w:rsid w:val="000F3637"/>
    <w:rsid w:val="000F796B"/>
    <w:rsid w:val="001002AF"/>
    <w:rsid w:val="001151C4"/>
    <w:rsid w:val="00115924"/>
    <w:rsid w:val="00117973"/>
    <w:rsid w:val="001226BE"/>
    <w:rsid w:val="001247CA"/>
    <w:rsid w:val="001273A7"/>
    <w:rsid w:val="00131111"/>
    <w:rsid w:val="0013477A"/>
    <w:rsid w:val="001351FC"/>
    <w:rsid w:val="00135B09"/>
    <w:rsid w:val="001435F6"/>
    <w:rsid w:val="00146C3F"/>
    <w:rsid w:val="00147FB9"/>
    <w:rsid w:val="00150FB3"/>
    <w:rsid w:val="001522EB"/>
    <w:rsid w:val="0015241F"/>
    <w:rsid w:val="001531F9"/>
    <w:rsid w:val="00154ADC"/>
    <w:rsid w:val="00157A1B"/>
    <w:rsid w:val="00162663"/>
    <w:rsid w:val="00166964"/>
    <w:rsid w:val="001718C7"/>
    <w:rsid w:val="00173A4C"/>
    <w:rsid w:val="001740A1"/>
    <w:rsid w:val="001749F1"/>
    <w:rsid w:val="0017518B"/>
    <w:rsid w:val="00175D92"/>
    <w:rsid w:val="00176E94"/>
    <w:rsid w:val="00177041"/>
    <w:rsid w:val="001826F7"/>
    <w:rsid w:val="001916E1"/>
    <w:rsid w:val="00192C5F"/>
    <w:rsid w:val="001930D7"/>
    <w:rsid w:val="0019383F"/>
    <w:rsid w:val="001A037F"/>
    <w:rsid w:val="001A2BC6"/>
    <w:rsid w:val="001A4EC5"/>
    <w:rsid w:val="001A575E"/>
    <w:rsid w:val="001A7223"/>
    <w:rsid w:val="001B090E"/>
    <w:rsid w:val="001B348C"/>
    <w:rsid w:val="001B37C9"/>
    <w:rsid w:val="001B62B0"/>
    <w:rsid w:val="001B6449"/>
    <w:rsid w:val="001C0AEA"/>
    <w:rsid w:val="001C0C9B"/>
    <w:rsid w:val="001C197C"/>
    <w:rsid w:val="001C46D2"/>
    <w:rsid w:val="001C5666"/>
    <w:rsid w:val="001C56C5"/>
    <w:rsid w:val="001D1E23"/>
    <w:rsid w:val="001D39EA"/>
    <w:rsid w:val="001D3C5A"/>
    <w:rsid w:val="001D45E6"/>
    <w:rsid w:val="001D5531"/>
    <w:rsid w:val="001D6C6A"/>
    <w:rsid w:val="001D78E9"/>
    <w:rsid w:val="001D7DE5"/>
    <w:rsid w:val="001E081D"/>
    <w:rsid w:val="001E0FDF"/>
    <w:rsid w:val="001E130E"/>
    <w:rsid w:val="001E2C60"/>
    <w:rsid w:val="001E2DF9"/>
    <w:rsid w:val="001F097E"/>
    <w:rsid w:val="001F3907"/>
    <w:rsid w:val="00201E47"/>
    <w:rsid w:val="0020262C"/>
    <w:rsid w:val="00202B48"/>
    <w:rsid w:val="002054F1"/>
    <w:rsid w:val="00207834"/>
    <w:rsid w:val="0022054B"/>
    <w:rsid w:val="00220C72"/>
    <w:rsid w:val="0022526E"/>
    <w:rsid w:val="0023009A"/>
    <w:rsid w:val="00231822"/>
    <w:rsid w:val="002323EB"/>
    <w:rsid w:val="00234A73"/>
    <w:rsid w:val="00236A1F"/>
    <w:rsid w:val="00240A69"/>
    <w:rsid w:val="00241E89"/>
    <w:rsid w:val="00242225"/>
    <w:rsid w:val="00242FCB"/>
    <w:rsid w:val="00250099"/>
    <w:rsid w:val="00251A42"/>
    <w:rsid w:val="00253057"/>
    <w:rsid w:val="002532F9"/>
    <w:rsid w:val="00254E50"/>
    <w:rsid w:val="00261E34"/>
    <w:rsid w:val="002659F1"/>
    <w:rsid w:val="00272F0A"/>
    <w:rsid w:val="00273E66"/>
    <w:rsid w:val="00275A46"/>
    <w:rsid w:val="00276D5D"/>
    <w:rsid w:val="00277223"/>
    <w:rsid w:val="00285282"/>
    <w:rsid w:val="0028585B"/>
    <w:rsid w:val="00286420"/>
    <w:rsid w:val="002871D2"/>
    <w:rsid w:val="00291002"/>
    <w:rsid w:val="00297863"/>
    <w:rsid w:val="002A0265"/>
    <w:rsid w:val="002A1724"/>
    <w:rsid w:val="002A4D97"/>
    <w:rsid w:val="002B0227"/>
    <w:rsid w:val="002B0E96"/>
    <w:rsid w:val="002B5815"/>
    <w:rsid w:val="002B6DF9"/>
    <w:rsid w:val="002B7D78"/>
    <w:rsid w:val="002C22BE"/>
    <w:rsid w:val="002C4A80"/>
    <w:rsid w:val="002C7ECF"/>
    <w:rsid w:val="002D02E7"/>
    <w:rsid w:val="002D0FBD"/>
    <w:rsid w:val="002D1626"/>
    <w:rsid w:val="002D2BD0"/>
    <w:rsid w:val="002E2B0D"/>
    <w:rsid w:val="002F1D81"/>
    <w:rsid w:val="002F2913"/>
    <w:rsid w:val="002F59F0"/>
    <w:rsid w:val="002F6893"/>
    <w:rsid w:val="00300972"/>
    <w:rsid w:val="00301E2B"/>
    <w:rsid w:val="00302DC1"/>
    <w:rsid w:val="0031039B"/>
    <w:rsid w:val="00310798"/>
    <w:rsid w:val="00317A45"/>
    <w:rsid w:val="00322331"/>
    <w:rsid w:val="00327F78"/>
    <w:rsid w:val="00332321"/>
    <w:rsid w:val="00335A14"/>
    <w:rsid w:val="00336B56"/>
    <w:rsid w:val="00336E9F"/>
    <w:rsid w:val="00340F29"/>
    <w:rsid w:val="00342C1C"/>
    <w:rsid w:val="0034707A"/>
    <w:rsid w:val="0034796B"/>
    <w:rsid w:val="00350684"/>
    <w:rsid w:val="00352BE9"/>
    <w:rsid w:val="00353776"/>
    <w:rsid w:val="00353B28"/>
    <w:rsid w:val="00353C15"/>
    <w:rsid w:val="00364B5A"/>
    <w:rsid w:val="00367474"/>
    <w:rsid w:val="003676E2"/>
    <w:rsid w:val="0037076B"/>
    <w:rsid w:val="003735FA"/>
    <w:rsid w:val="0037447A"/>
    <w:rsid w:val="00376346"/>
    <w:rsid w:val="0038083D"/>
    <w:rsid w:val="003810A1"/>
    <w:rsid w:val="00384728"/>
    <w:rsid w:val="00386793"/>
    <w:rsid w:val="003930D5"/>
    <w:rsid w:val="00396C58"/>
    <w:rsid w:val="003A2026"/>
    <w:rsid w:val="003A21D1"/>
    <w:rsid w:val="003A4486"/>
    <w:rsid w:val="003A4686"/>
    <w:rsid w:val="003B01C6"/>
    <w:rsid w:val="003B27C6"/>
    <w:rsid w:val="003B6A5E"/>
    <w:rsid w:val="003B7FA9"/>
    <w:rsid w:val="003C01D4"/>
    <w:rsid w:val="003C0E5E"/>
    <w:rsid w:val="003C14B6"/>
    <w:rsid w:val="003C1D2D"/>
    <w:rsid w:val="003C2699"/>
    <w:rsid w:val="003C3663"/>
    <w:rsid w:val="003C775D"/>
    <w:rsid w:val="003D25D7"/>
    <w:rsid w:val="003D5D8B"/>
    <w:rsid w:val="003E05A2"/>
    <w:rsid w:val="003F0DD3"/>
    <w:rsid w:val="003F3A05"/>
    <w:rsid w:val="003F61CB"/>
    <w:rsid w:val="004040B1"/>
    <w:rsid w:val="004048C7"/>
    <w:rsid w:val="00407F82"/>
    <w:rsid w:val="0041305A"/>
    <w:rsid w:val="00413BD9"/>
    <w:rsid w:val="0041433F"/>
    <w:rsid w:val="0041580B"/>
    <w:rsid w:val="00416F23"/>
    <w:rsid w:val="00417B84"/>
    <w:rsid w:val="004210D4"/>
    <w:rsid w:val="004219C7"/>
    <w:rsid w:val="00423276"/>
    <w:rsid w:val="00424791"/>
    <w:rsid w:val="00427CDE"/>
    <w:rsid w:val="00430E44"/>
    <w:rsid w:val="00433F84"/>
    <w:rsid w:val="004355FE"/>
    <w:rsid w:val="004405C5"/>
    <w:rsid w:val="00441759"/>
    <w:rsid w:val="00442A7F"/>
    <w:rsid w:val="004444CE"/>
    <w:rsid w:val="00446908"/>
    <w:rsid w:val="00446A92"/>
    <w:rsid w:val="00452AE2"/>
    <w:rsid w:val="0045535A"/>
    <w:rsid w:val="0045655E"/>
    <w:rsid w:val="00457402"/>
    <w:rsid w:val="00461992"/>
    <w:rsid w:val="004622C3"/>
    <w:rsid w:val="004648FA"/>
    <w:rsid w:val="00465C98"/>
    <w:rsid w:val="00465FF3"/>
    <w:rsid w:val="00474714"/>
    <w:rsid w:val="00477435"/>
    <w:rsid w:val="00477F62"/>
    <w:rsid w:val="00481885"/>
    <w:rsid w:val="00484783"/>
    <w:rsid w:val="00491E9B"/>
    <w:rsid w:val="00492D3C"/>
    <w:rsid w:val="0049306F"/>
    <w:rsid w:val="00494B25"/>
    <w:rsid w:val="004A2355"/>
    <w:rsid w:val="004A2B07"/>
    <w:rsid w:val="004A3100"/>
    <w:rsid w:val="004A4EBE"/>
    <w:rsid w:val="004A7F10"/>
    <w:rsid w:val="004B3AE5"/>
    <w:rsid w:val="004B4AB8"/>
    <w:rsid w:val="004B58E3"/>
    <w:rsid w:val="004C0D3D"/>
    <w:rsid w:val="004C4068"/>
    <w:rsid w:val="004C4AF4"/>
    <w:rsid w:val="004D17FB"/>
    <w:rsid w:val="004D2E35"/>
    <w:rsid w:val="004D3C03"/>
    <w:rsid w:val="004D4B94"/>
    <w:rsid w:val="004D5248"/>
    <w:rsid w:val="004D628F"/>
    <w:rsid w:val="004E25DB"/>
    <w:rsid w:val="004F3C6B"/>
    <w:rsid w:val="004F4DF8"/>
    <w:rsid w:val="0050493A"/>
    <w:rsid w:val="00510199"/>
    <w:rsid w:val="00510DB6"/>
    <w:rsid w:val="005138E3"/>
    <w:rsid w:val="00521075"/>
    <w:rsid w:val="0052108D"/>
    <w:rsid w:val="00523237"/>
    <w:rsid w:val="00530226"/>
    <w:rsid w:val="0053202D"/>
    <w:rsid w:val="00535364"/>
    <w:rsid w:val="005464A0"/>
    <w:rsid w:val="005533BE"/>
    <w:rsid w:val="00553EFC"/>
    <w:rsid w:val="005607AD"/>
    <w:rsid w:val="005778FB"/>
    <w:rsid w:val="00583F50"/>
    <w:rsid w:val="00584779"/>
    <w:rsid w:val="00596DC7"/>
    <w:rsid w:val="005B11A3"/>
    <w:rsid w:val="005B14A2"/>
    <w:rsid w:val="005B1A5F"/>
    <w:rsid w:val="005C1803"/>
    <w:rsid w:val="005C380B"/>
    <w:rsid w:val="005C451C"/>
    <w:rsid w:val="005C4A89"/>
    <w:rsid w:val="005C6E35"/>
    <w:rsid w:val="005C7103"/>
    <w:rsid w:val="005D422C"/>
    <w:rsid w:val="005E2B9A"/>
    <w:rsid w:val="005E752C"/>
    <w:rsid w:val="005F5852"/>
    <w:rsid w:val="005F658D"/>
    <w:rsid w:val="0060095D"/>
    <w:rsid w:val="00600B68"/>
    <w:rsid w:val="00601BEB"/>
    <w:rsid w:val="00604986"/>
    <w:rsid w:val="00605C6C"/>
    <w:rsid w:val="006063CF"/>
    <w:rsid w:val="006101C2"/>
    <w:rsid w:val="006109C0"/>
    <w:rsid w:val="00610EA4"/>
    <w:rsid w:val="006130EC"/>
    <w:rsid w:val="00615F04"/>
    <w:rsid w:val="00616CE1"/>
    <w:rsid w:val="00621927"/>
    <w:rsid w:val="00624449"/>
    <w:rsid w:val="0062535D"/>
    <w:rsid w:val="006260FC"/>
    <w:rsid w:val="00626A39"/>
    <w:rsid w:val="0063785B"/>
    <w:rsid w:val="006403D5"/>
    <w:rsid w:val="006445B9"/>
    <w:rsid w:val="006474BF"/>
    <w:rsid w:val="006540E8"/>
    <w:rsid w:val="0065697E"/>
    <w:rsid w:val="006679D1"/>
    <w:rsid w:val="00670555"/>
    <w:rsid w:val="00671043"/>
    <w:rsid w:val="0067170E"/>
    <w:rsid w:val="0067518D"/>
    <w:rsid w:val="00677086"/>
    <w:rsid w:val="00684E6E"/>
    <w:rsid w:val="006872A6"/>
    <w:rsid w:val="006909B9"/>
    <w:rsid w:val="00690CB7"/>
    <w:rsid w:val="00692943"/>
    <w:rsid w:val="006948FE"/>
    <w:rsid w:val="0069529E"/>
    <w:rsid w:val="00695F0A"/>
    <w:rsid w:val="006964E3"/>
    <w:rsid w:val="00696F18"/>
    <w:rsid w:val="006A07CE"/>
    <w:rsid w:val="006A2282"/>
    <w:rsid w:val="006B07D7"/>
    <w:rsid w:val="006B15E9"/>
    <w:rsid w:val="006B3106"/>
    <w:rsid w:val="006B4F32"/>
    <w:rsid w:val="006B6D5B"/>
    <w:rsid w:val="006C016A"/>
    <w:rsid w:val="006C03A6"/>
    <w:rsid w:val="006C11AD"/>
    <w:rsid w:val="006C1629"/>
    <w:rsid w:val="006C1D72"/>
    <w:rsid w:val="006C27E2"/>
    <w:rsid w:val="006C4B7C"/>
    <w:rsid w:val="006C754D"/>
    <w:rsid w:val="006D146B"/>
    <w:rsid w:val="006D1EAD"/>
    <w:rsid w:val="006D231B"/>
    <w:rsid w:val="006D4F7C"/>
    <w:rsid w:val="006D5CEF"/>
    <w:rsid w:val="006E2626"/>
    <w:rsid w:val="006E48A2"/>
    <w:rsid w:val="006E6C0E"/>
    <w:rsid w:val="006E755A"/>
    <w:rsid w:val="006F0239"/>
    <w:rsid w:val="006F724B"/>
    <w:rsid w:val="00701085"/>
    <w:rsid w:val="007028F9"/>
    <w:rsid w:val="00704DDD"/>
    <w:rsid w:val="00704EF8"/>
    <w:rsid w:val="00706270"/>
    <w:rsid w:val="00710801"/>
    <w:rsid w:val="00710DE1"/>
    <w:rsid w:val="007125BD"/>
    <w:rsid w:val="007164D3"/>
    <w:rsid w:val="00717BF9"/>
    <w:rsid w:val="007213EE"/>
    <w:rsid w:val="0072528C"/>
    <w:rsid w:val="007257CB"/>
    <w:rsid w:val="00733F00"/>
    <w:rsid w:val="007362D7"/>
    <w:rsid w:val="007403A1"/>
    <w:rsid w:val="00742CA8"/>
    <w:rsid w:val="00744426"/>
    <w:rsid w:val="0074547D"/>
    <w:rsid w:val="00745F7A"/>
    <w:rsid w:val="00750EC0"/>
    <w:rsid w:val="007525AE"/>
    <w:rsid w:val="00763C11"/>
    <w:rsid w:val="007660C6"/>
    <w:rsid w:val="00780E7D"/>
    <w:rsid w:val="00781529"/>
    <w:rsid w:val="00782421"/>
    <w:rsid w:val="00782C36"/>
    <w:rsid w:val="00782FE5"/>
    <w:rsid w:val="00785EFA"/>
    <w:rsid w:val="00786AB4"/>
    <w:rsid w:val="00791266"/>
    <w:rsid w:val="00791FE1"/>
    <w:rsid w:val="00796FD3"/>
    <w:rsid w:val="007A045B"/>
    <w:rsid w:val="007A2571"/>
    <w:rsid w:val="007A4F23"/>
    <w:rsid w:val="007A5090"/>
    <w:rsid w:val="007B1C53"/>
    <w:rsid w:val="007B1CFF"/>
    <w:rsid w:val="007B7A42"/>
    <w:rsid w:val="007D2897"/>
    <w:rsid w:val="007D298A"/>
    <w:rsid w:val="007D41C4"/>
    <w:rsid w:val="007D4CE3"/>
    <w:rsid w:val="007D6B9E"/>
    <w:rsid w:val="007D76DD"/>
    <w:rsid w:val="007F048F"/>
    <w:rsid w:val="007F3CF4"/>
    <w:rsid w:val="007F6DA4"/>
    <w:rsid w:val="007F6F32"/>
    <w:rsid w:val="007F7448"/>
    <w:rsid w:val="00802046"/>
    <w:rsid w:val="0080249C"/>
    <w:rsid w:val="0080267A"/>
    <w:rsid w:val="008026E6"/>
    <w:rsid w:val="00804C27"/>
    <w:rsid w:val="00806804"/>
    <w:rsid w:val="00814195"/>
    <w:rsid w:val="0081796F"/>
    <w:rsid w:val="0082224C"/>
    <w:rsid w:val="0082251E"/>
    <w:rsid w:val="00827F11"/>
    <w:rsid w:val="00830676"/>
    <w:rsid w:val="00832044"/>
    <w:rsid w:val="00832945"/>
    <w:rsid w:val="0083701C"/>
    <w:rsid w:val="008378A2"/>
    <w:rsid w:val="0084191B"/>
    <w:rsid w:val="00850B98"/>
    <w:rsid w:val="008542CA"/>
    <w:rsid w:val="0085441A"/>
    <w:rsid w:val="0085612F"/>
    <w:rsid w:val="00856FD9"/>
    <w:rsid w:val="008573E5"/>
    <w:rsid w:val="008605BD"/>
    <w:rsid w:val="00864C2A"/>
    <w:rsid w:val="0086642C"/>
    <w:rsid w:val="00867B97"/>
    <w:rsid w:val="00867D90"/>
    <w:rsid w:val="008722F0"/>
    <w:rsid w:val="00876070"/>
    <w:rsid w:val="008772B7"/>
    <w:rsid w:val="00883109"/>
    <w:rsid w:val="00883AD6"/>
    <w:rsid w:val="00884C9F"/>
    <w:rsid w:val="00886C28"/>
    <w:rsid w:val="00887F3F"/>
    <w:rsid w:val="008939F7"/>
    <w:rsid w:val="00895249"/>
    <w:rsid w:val="00896040"/>
    <w:rsid w:val="008A0436"/>
    <w:rsid w:val="008A0CD3"/>
    <w:rsid w:val="008A2155"/>
    <w:rsid w:val="008A3327"/>
    <w:rsid w:val="008A3DD6"/>
    <w:rsid w:val="008B18A8"/>
    <w:rsid w:val="008B1C36"/>
    <w:rsid w:val="008B2BBF"/>
    <w:rsid w:val="008B392D"/>
    <w:rsid w:val="008C5103"/>
    <w:rsid w:val="008C5E4E"/>
    <w:rsid w:val="008D7148"/>
    <w:rsid w:val="008E23FC"/>
    <w:rsid w:val="008E2B4B"/>
    <w:rsid w:val="008E626F"/>
    <w:rsid w:val="008F0A6A"/>
    <w:rsid w:val="008F479B"/>
    <w:rsid w:val="008F746A"/>
    <w:rsid w:val="008F7B2D"/>
    <w:rsid w:val="00903B19"/>
    <w:rsid w:val="00906145"/>
    <w:rsid w:val="00907E1B"/>
    <w:rsid w:val="009103A1"/>
    <w:rsid w:val="00910BBB"/>
    <w:rsid w:val="00912B59"/>
    <w:rsid w:val="00913BBD"/>
    <w:rsid w:val="00913D6E"/>
    <w:rsid w:val="00920C54"/>
    <w:rsid w:val="0092196F"/>
    <w:rsid w:val="00922D98"/>
    <w:rsid w:val="0092310A"/>
    <w:rsid w:val="00930F1B"/>
    <w:rsid w:val="0094153F"/>
    <w:rsid w:val="00943752"/>
    <w:rsid w:val="00946F67"/>
    <w:rsid w:val="0094780E"/>
    <w:rsid w:val="00953A34"/>
    <w:rsid w:val="0096290D"/>
    <w:rsid w:val="00962FB9"/>
    <w:rsid w:val="00965035"/>
    <w:rsid w:val="0096600D"/>
    <w:rsid w:val="0096666B"/>
    <w:rsid w:val="009755BE"/>
    <w:rsid w:val="0098188F"/>
    <w:rsid w:val="00984AEC"/>
    <w:rsid w:val="009877B1"/>
    <w:rsid w:val="00990B0F"/>
    <w:rsid w:val="00993115"/>
    <w:rsid w:val="00993742"/>
    <w:rsid w:val="00994359"/>
    <w:rsid w:val="009966FA"/>
    <w:rsid w:val="00997420"/>
    <w:rsid w:val="0099780F"/>
    <w:rsid w:val="009A1BBC"/>
    <w:rsid w:val="009A24ED"/>
    <w:rsid w:val="009A4BFD"/>
    <w:rsid w:val="009A52DB"/>
    <w:rsid w:val="009A59F7"/>
    <w:rsid w:val="009A5D40"/>
    <w:rsid w:val="009A624A"/>
    <w:rsid w:val="009B1E75"/>
    <w:rsid w:val="009B6065"/>
    <w:rsid w:val="009B7421"/>
    <w:rsid w:val="009C2904"/>
    <w:rsid w:val="009C4B01"/>
    <w:rsid w:val="009D4C0E"/>
    <w:rsid w:val="009D5CC8"/>
    <w:rsid w:val="009D752F"/>
    <w:rsid w:val="009E1152"/>
    <w:rsid w:val="009E23FD"/>
    <w:rsid w:val="009E5F2B"/>
    <w:rsid w:val="009F0CDF"/>
    <w:rsid w:val="009F20CD"/>
    <w:rsid w:val="009F2AFD"/>
    <w:rsid w:val="009F2F0F"/>
    <w:rsid w:val="009F4DB5"/>
    <w:rsid w:val="00A004BB"/>
    <w:rsid w:val="00A026A7"/>
    <w:rsid w:val="00A029E8"/>
    <w:rsid w:val="00A03194"/>
    <w:rsid w:val="00A11266"/>
    <w:rsid w:val="00A16A05"/>
    <w:rsid w:val="00A1753F"/>
    <w:rsid w:val="00A179BA"/>
    <w:rsid w:val="00A25D9C"/>
    <w:rsid w:val="00A262E5"/>
    <w:rsid w:val="00A309AB"/>
    <w:rsid w:val="00A31824"/>
    <w:rsid w:val="00A324CA"/>
    <w:rsid w:val="00A360A5"/>
    <w:rsid w:val="00A42AEE"/>
    <w:rsid w:val="00A43112"/>
    <w:rsid w:val="00A434F6"/>
    <w:rsid w:val="00A45D1C"/>
    <w:rsid w:val="00A46330"/>
    <w:rsid w:val="00A5187C"/>
    <w:rsid w:val="00A526AF"/>
    <w:rsid w:val="00A540C5"/>
    <w:rsid w:val="00A5457D"/>
    <w:rsid w:val="00A547FE"/>
    <w:rsid w:val="00A57587"/>
    <w:rsid w:val="00A57712"/>
    <w:rsid w:val="00A61A8E"/>
    <w:rsid w:val="00A64DD6"/>
    <w:rsid w:val="00A654B3"/>
    <w:rsid w:val="00A760CA"/>
    <w:rsid w:val="00A818AF"/>
    <w:rsid w:val="00A87150"/>
    <w:rsid w:val="00A936C8"/>
    <w:rsid w:val="00A970EF"/>
    <w:rsid w:val="00AB0AB1"/>
    <w:rsid w:val="00AB2080"/>
    <w:rsid w:val="00AB4574"/>
    <w:rsid w:val="00AC03E0"/>
    <w:rsid w:val="00AC4BC8"/>
    <w:rsid w:val="00AD1252"/>
    <w:rsid w:val="00AD59A6"/>
    <w:rsid w:val="00AD5C9A"/>
    <w:rsid w:val="00AE008E"/>
    <w:rsid w:val="00AE0688"/>
    <w:rsid w:val="00AE0973"/>
    <w:rsid w:val="00AE0D6E"/>
    <w:rsid w:val="00AE1DA4"/>
    <w:rsid w:val="00AE2B42"/>
    <w:rsid w:val="00AE3C96"/>
    <w:rsid w:val="00AE6F57"/>
    <w:rsid w:val="00AF0818"/>
    <w:rsid w:val="00AF3F9D"/>
    <w:rsid w:val="00AF60F9"/>
    <w:rsid w:val="00B000A1"/>
    <w:rsid w:val="00B023C3"/>
    <w:rsid w:val="00B025BF"/>
    <w:rsid w:val="00B050F6"/>
    <w:rsid w:val="00B15E8C"/>
    <w:rsid w:val="00B17F1A"/>
    <w:rsid w:val="00B216F0"/>
    <w:rsid w:val="00B25163"/>
    <w:rsid w:val="00B2632A"/>
    <w:rsid w:val="00B27267"/>
    <w:rsid w:val="00B30CB5"/>
    <w:rsid w:val="00B31328"/>
    <w:rsid w:val="00B31617"/>
    <w:rsid w:val="00B31A4E"/>
    <w:rsid w:val="00B37F43"/>
    <w:rsid w:val="00B4020C"/>
    <w:rsid w:val="00B4034C"/>
    <w:rsid w:val="00B405D4"/>
    <w:rsid w:val="00B40CCF"/>
    <w:rsid w:val="00B50531"/>
    <w:rsid w:val="00B50955"/>
    <w:rsid w:val="00B50AC4"/>
    <w:rsid w:val="00B53338"/>
    <w:rsid w:val="00B555AF"/>
    <w:rsid w:val="00B63CB1"/>
    <w:rsid w:val="00B650B7"/>
    <w:rsid w:val="00B6710B"/>
    <w:rsid w:val="00B671C5"/>
    <w:rsid w:val="00B71EA1"/>
    <w:rsid w:val="00B7546B"/>
    <w:rsid w:val="00B7771D"/>
    <w:rsid w:val="00B77F99"/>
    <w:rsid w:val="00B80793"/>
    <w:rsid w:val="00B827BC"/>
    <w:rsid w:val="00B86DD8"/>
    <w:rsid w:val="00B94A93"/>
    <w:rsid w:val="00B94D4E"/>
    <w:rsid w:val="00BA020E"/>
    <w:rsid w:val="00BA7A9F"/>
    <w:rsid w:val="00BB02F4"/>
    <w:rsid w:val="00BB16A9"/>
    <w:rsid w:val="00BB2306"/>
    <w:rsid w:val="00BB393B"/>
    <w:rsid w:val="00BB4194"/>
    <w:rsid w:val="00BB4F00"/>
    <w:rsid w:val="00BC0E04"/>
    <w:rsid w:val="00BC4492"/>
    <w:rsid w:val="00BC58D7"/>
    <w:rsid w:val="00BD0156"/>
    <w:rsid w:val="00BD4D8C"/>
    <w:rsid w:val="00BE06CF"/>
    <w:rsid w:val="00BE10D8"/>
    <w:rsid w:val="00BE5F13"/>
    <w:rsid w:val="00BE72D9"/>
    <w:rsid w:val="00C00421"/>
    <w:rsid w:val="00C0136E"/>
    <w:rsid w:val="00C03658"/>
    <w:rsid w:val="00C06EED"/>
    <w:rsid w:val="00C11118"/>
    <w:rsid w:val="00C14E75"/>
    <w:rsid w:val="00C20D0C"/>
    <w:rsid w:val="00C232D2"/>
    <w:rsid w:val="00C237D6"/>
    <w:rsid w:val="00C23FB0"/>
    <w:rsid w:val="00C30902"/>
    <w:rsid w:val="00C314FA"/>
    <w:rsid w:val="00C327AE"/>
    <w:rsid w:val="00C3351F"/>
    <w:rsid w:val="00C34D87"/>
    <w:rsid w:val="00C3544E"/>
    <w:rsid w:val="00C36014"/>
    <w:rsid w:val="00C37BBD"/>
    <w:rsid w:val="00C4035B"/>
    <w:rsid w:val="00C42D8C"/>
    <w:rsid w:val="00C46410"/>
    <w:rsid w:val="00C46A10"/>
    <w:rsid w:val="00C473AC"/>
    <w:rsid w:val="00C53C73"/>
    <w:rsid w:val="00C55E67"/>
    <w:rsid w:val="00C60D5D"/>
    <w:rsid w:val="00C635A7"/>
    <w:rsid w:val="00C65DC3"/>
    <w:rsid w:val="00C665B1"/>
    <w:rsid w:val="00C66C36"/>
    <w:rsid w:val="00C710EF"/>
    <w:rsid w:val="00C71D99"/>
    <w:rsid w:val="00C71FC8"/>
    <w:rsid w:val="00C722A7"/>
    <w:rsid w:val="00C73FF6"/>
    <w:rsid w:val="00C74F29"/>
    <w:rsid w:val="00C82605"/>
    <w:rsid w:val="00C84DF1"/>
    <w:rsid w:val="00C84E4C"/>
    <w:rsid w:val="00C85B2A"/>
    <w:rsid w:val="00C93278"/>
    <w:rsid w:val="00CA3F5B"/>
    <w:rsid w:val="00CB156F"/>
    <w:rsid w:val="00CB40A3"/>
    <w:rsid w:val="00CC1C10"/>
    <w:rsid w:val="00CC2B2A"/>
    <w:rsid w:val="00CD6FEA"/>
    <w:rsid w:val="00CE19BC"/>
    <w:rsid w:val="00CE5D85"/>
    <w:rsid w:val="00CF2F20"/>
    <w:rsid w:val="00CF5953"/>
    <w:rsid w:val="00D019DA"/>
    <w:rsid w:val="00D06379"/>
    <w:rsid w:val="00D120EE"/>
    <w:rsid w:val="00D14388"/>
    <w:rsid w:val="00D15822"/>
    <w:rsid w:val="00D15CDC"/>
    <w:rsid w:val="00D2055E"/>
    <w:rsid w:val="00D21E5B"/>
    <w:rsid w:val="00D26436"/>
    <w:rsid w:val="00D27C0A"/>
    <w:rsid w:val="00D32ABF"/>
    <w:rsid w:val="00D4587A"/>
    <w:rsid w:val="00D47E43"/>
    <w:rsid w:val="00D52B0A"/>
    <w:rsid w:val="00D53D15"/>
    <w:rsid w:val="00D544B7"/>
    <w:rsid w:val="00D5567F"/>
    <w:rsid w:val="00D615D0"/>
    <w:rsid w:val="00D6166B"/>
    <w:rsid w:val="00D63F38"/>
    <w:rsid w:val="00D645B5"/>
    <w:rsid w:val="00D650B2"/>
    <w:rsid w:val="00D70F22"/>
    <w:rsid w:val="00D71A77"/>
    <w:rsid w:val="00D71F8E"/>
    <w:rsid w:val="00D83004"/>
    <w:rsid w:val="00D83AB0"/>
    <w:rsid w:val="00D85B21"/>
    <w:rsid w:val="00D872A3"/>
    <w:rsid w:val="00D87E7D"/>
    <w:rsid w:val="00DA0E30"/>
    <w:rsid w:val="00DA0F7D"/>
    <w:rsid w:val="00DA1882"/>
    <w:rsid w:val="00DB15E9"/>
    <w:rsid w:val="00DB3879"/>
    <w:rsid w:val="00DC38CE"/>
    <w:rsid w:val="00DC5C89"/>
    <w:rsid w:val="00DC6876"/>
    <w:rsid w:val="00DD3086"/>
    <w:rsid w:val="00DD5E7A"/>
    <w:rsid w:val="00DD69D9"/>
    <w:rsid w:val="00DE1198"/>
    <w:rsid w:val="00DE27E6"/>
    <w:rsid w:val="00DE4937"/>
    <w:rsid w:val="00DE5AB9"/>
    <w:rsid w:val="00DF01B7"/>
    <w:rsid w:val="00DF1351"/>
    <w:rsid w:val="00DF1B22"/>
    <w:rsid w:val="00DF3C5B"/>
    <w:rsid w:val="00DF4080"/>
    <w:rsid w:val="00E0761E"/>
    <w:rsid w:val="00E14C8C"/>
    <w:rsid w:val="00E1520E"/>
    <w:rsid w:val="00E15EC6"/>
    <w:rsid w:val="00E16B77"/>
    <w:rsid w:val="00E216DD"/>
    <w:rsid w:val="00E23120"/>
    <w:rsid w:val="00E24A50"/>
    <w:rsid w:val="00E24D2C"/>
    <w:rsid w:val="00E263CE"/>
    <w:rsid w:val="00E322DA"/>
    <w:rsid w:val="00E461BF"/>
    <w:rsid w:val="00E46DD8"/>
    <w:rsid w:val="00E501E8"/>
    <w:rsid w:val="00E508B6"/>
    <w:rsid w:val="00E52E14"/>
    <w:rsid w:val="00E54FB9"/>
    <w:rsid w:val="00E5666D"/>
    <w:rsid w:val="00E567F1"/>
    <w:rsid w:val="00E57A5E"/>
    <w:rsid w:val="00E645DB"/>
    <w:rsid w:val="00E64D98"/>
    <w:rsid w:val="00E6780B"/>
    <w:rsid w:val="00E67F36"/>
    <w:rsid w:val="00E74851"/>
    <w:rsid w:val="00E74F9D"/>
    <w:rsid w:val="00E751FC"/>
    <w:rsid w:val="00E86E59"/>
    <w:rsid w:val="00E904B0"/>
    <w:rsid w:val="00E96E22"/>
    <w:rsid w:val="00E97127"/>
    <w:rsid w:val="00EA151B"/>
    <w:rsid w:val="00EA3E36"/>
    <w:rsid w:val="00EA63E8"/>
    <w:rsid w:val="00EC4ECA"/>
    <w:rsid w:val="00EC6C87"/>
    <w:rsid w:val="00ED2CF7"/>
    <w:rsid w:val="00ED6931"/>
    <w:rsid w:val="00EE1431"/>
    <w:rsid w:val="00EE3E4B"/>
    <w:rsid w:val="00EE62DD"/>
    <w:rsid w:val="00EF1CC5"/>
    <w:rsid w:val="00F00D47"/>
    <w:rsid w:val="00F01D7A"/>
    <w:rsid w:val="00F02528"/>
    <w:rsid w:val="00F04EF5"/>
    <w:rsid w:val="00F07651"/>
    <w:rsid w:val="00F106E3"/>
    <w:rsid w:val="00F12456"/>
    <w:rsid w:val="00F14906"/>
    <w:rsid w:val="00F149BF"/>
    <w:rsid w:val="00F150B0"/>
    <w:rsid w:val="00F1545E"/>
    <w:rsid w:val="00F226DE"/>
    <w:rsid w:val="00F23D99"/>
    <w:rsid w:val="00F27283"/>
    <w:rsid w:val="00F30E16"/>
    <w:rsid w:val="00F3153D"/>
    <w:rsid w:val="00F31CB6"/>
    <w:rsid w:val="00F4193B"/>
    <w:rsid w:val="00F427F9"/>
    <w:rsid w:val="00F53A6B"/>
    <w:rsid w:val="00F61B54"/>
    <w:rsid w:val="00F62143"/>
    <w:rsid w:val="00F63932"/>
    <w:rsid w:val="00F71640"/>
    <w:rsid w:val="00F77CB4"/>
    <w:rsid w:val="00F77D07"/>
    <w:rsid w:val="00F81418"/>
    <w:rsid w:val="00F8238E"/>
    <w:rsid w:val="00F8323A"/>
    <w:rsid w:val="00F832E9"/>
    <w:rsid w:val="00F863D0"/>
    <w:rsid w:val="00F86F16"/>
    <w:rsid w:val="00F94A4D"/>
    <w:rsid w:val="00FA0397"/>
    <w:rsid w:val="00FA115F"/>
    <w:rsid w:val="00FA2764"/>
    <w:rsid w:val="00FA699C"/>
    <w:rsid w:val="00FB3D8B"/>
    <w:rsid w:val="00FB4F5C"/>
    <w:rsid w:val="00FB6A69"/>
    <w:rsid w:val="00FC052C"/>
    <w:rsid w:val="00FD2FF4"/>
    <w:rsid w:val="00FD487B"/>
    <w:rsid w:val="00FE3E17"/>
    <w:rsid w:val="00FE414E"/>
    <w:rsid w:val="00FE5FE2"/>
    <w:rsid w:val="00FE61D7"/>
    <w:rsid w:val="00FE7643"/>
    <w:rsid w:val="00FE798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8F1DC"/>
  <w15:chartTrackingRefBased/>
  <w15:docId w15:val="{62614DB7-040C-4B74-B3F4-A52E207D3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24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0952B3"/>
    <w:rPr>
      <w:rFonts w:cs="Times New Roman"/>
      <w:color w:val="0000FF"/>
      <w:u w:val="single"/>
    </w:rPr>
  </w:style>
  <w:style w:type="paragraph" w:styleId="ListParagraph">
    <w:name w:val="List Paragraph"/>
    <w:aliases w:val="2,Strip,H&amp;P List Paragraph,Saraksta rindkopa,Saraksta rindkopa1"/>
    <w:basedOn w:val="Normal"/>
    <w:link w:val="ListParagraphChar"/>
    <w:uiPriority w:val="34"/>
    <w:qFormat/>
    <w:rsid w:val="000952B3"/>
    <w:pPr>
      <w:ind w:left="720"/>
      <w:contextualSpacing/>
    </w:pPr>
    <w:rPr>
      <w:sz w:val="22"/>
      <w:szCs w:val="22"/>
    </w:rPr>
  </w:style>
  <w:style w:type="character" w:customStyle="1" w:styleId="ListParagraphChar">
    <w:name w:val="List Paragraph Char"/>
    <w:aliases w:val="2 Char,Strip Char,H&amp;P List Paragraph Char,Saraksta rindkopa Char,Saraksta rindkopa1 Char"/>
    <w:link w:val="ListParagraph"/>
    <w:uiPriority w:val="34"/>
    <w:qFormat/>
    <w:rsid w:val="000952B3"/>
    <w:rPr>
      <w:rFonts w:ascii="Times New Roman" w:eastAsia="Times New Roman" w:hAnsi="Times New Roman" w:cs="Times New Roman"/>
      <w:lang w:eastAsia="lv-LV"/>
    </w:rPr>
  </w:style>
  <w:style w:type="paragraph" w:customStyle="1" w:styleId="Default">
    <w:name w:val="Default"/>
    <w:rsid w:val="000952B3"/>
    <w:pPr>
      <w:autoSpaceDE w:val="0"/>
      <w:autoSpaceDN w:val="0"/>
      <w:adjustRightInd w:val="0"/>
      <w:spacing w:after="0" w:line="240" w:lineRule="auto"/>
    </w:pPr>
    <w:rPr>
      <w:rFonts w:ascii="Times New Roman" w:eastAsia="Calibri" w:hAnsi="Times New Roman" w:cs="Times New Roman"/>
      <w:color w:val="000000"/>
      <w:sz w:val="24"/>
      <w:szCs w:val="24"/>
      <w:lang w:eastAsia="lv-LV"/>
    </w:rPr>
  </w:style>
  <w:style w:type="paragraph" w:customStyle="1" w:styleId="naiskr">
    <w:name w:val="naiskr"/>
    <w:basedOn w:val="Normal"/>
    <w:rsid w:val="000952B3"/>
    <w:pPr>
      <w:spacing w:before="100" w:beforeAutospacing="1" w:after="100" w:afterAutospacing="1"/>
    </w:pPr>
  </w:style>
  <w:style w:type="paragraph" w:customStyle="1" w:styleId="naisnod">
    <w:name w:val="naisnod"/>
    <w:basedOn w:val="Normal"/>
    <w:rsid w:val="000952B3"/>
    <w:pPr>
      <w:spacing w:before="100" w:beforeAutospacing="1" w:after="100" w:afterAutospacing="1"/>
    </w:pPr>
  </w:style>
  <w:style w:type="character" w:styleId="CommentReference">
    <w:name w:val="annotation reference"/>
    <w:unhideWhenUsed/>
    <w:rsid w:val="00055596"/>
    <w:rPr>
      <w:sz w:val="16"/>
      <w:szCs w:val="16"/>
    </w:rPr>
  </w:style>
  <w:style w:type="paragraph" w:styleId="CommentText">
    <w:name w:val="annotation text"/>
    <w:basedOn w:val="Normal"/>
    <w:link w:val="CommentTextChar"/>
    <w:unhideWhenUsed/>
    <w:rsid w:val="00055596"/>
    <w:pPr>
      <w:spacing w:after="200"/>
    </w:pPr>
    <w:rPr>
      <w:rFonts w:ascii="Calibri" w:hAnsi="Calibri"/>
      <w:sz w:val="20"/>
      <w:szCs w:val="20"/>
      <w:lang w:val="x-none" w:eastAsia="x-none"/>
    </w:rPr>
  </w:style>
  <w:style w:type="character" w:customStyle="1" w:styleId="CommentTextChar">
    <w:name w:val="Comment Text Char"/>
    <w:basedOn w:val="DefaultParagraphFont"/>
    <w:link w:val="CommentText"/>
    <w:rsid w:val="00055596"/>
    <w:rPr>
      <w:rFonts w:ascii="Calibri" w:eastAsia="Calibri" w:hAnsi="Calibri" w:cs="Times New Roman"/>
      <w:sz w:val="20"/>
      <w:szCs w:val="20"/>
      <w:lang w:val="x-none" w:eastAsia="x-none"/>
    </w:rPr>
  </w:style>
  <w:style w:type="paragraph" w:styleId="BalloonText">
    <w:name w:val="Balloon Text"/>
    <w:basedOn w:val="Normal"/>
    <w:link w:val="BalloonTextChar"/>
    <w:uiPriority w:val="99"/>
    <w:semiHidden/>
    <w:unhideWhenUsed/>
    <w:rsid w:val="000555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596"/>
    <w:rPr>
      <w:rFonts w:ascii="Segoe UI" w:eastAsia="Calibri" w:hAnsi="Segoe UI" w:cs="Segoe UI"/>
      <w:sz w:val="18"/>
      <w:szCs w:val="18"/>
      <w:lang w:eastAsia="lv-LV"/>
    </w:rPr>
  </w:style>
  <w:style w:type="table" w:styleId="TableGrid">
    <w:name w:val="Table Grid"/>
    <w:basedOn w:val="TableNormal"/>
    <w:uiPriority w:val="39"/>
    <w:rsid w:val="00DF408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A045B"/>
    <w:pPr>
      <w:spacing w:before="100" w:beforeAutospacing="1" w:after="100" w:afterAutospacing="1"/>
    </w:pPr>
  </w:style>
  <w:style w:type="paragraph" w:styleId="Header">
    <w:name w:val="header"/>
    <w:basedOn w:val="Normal"/>
    <w:link w:val="HeaderChar"/>
    <w:uiPriority w:val="99"/>
    <w:unhideWhenUsed/>
    <w:rsid w:val="007A045B"/>
    <w:pPr>
      <w:tabs>
        <w:tab w:val="center" w:pos="4153"/>
        <w:tab w:val="right" w:pos="8306"/>
      </w:tabs>
    </w:pPr>
  </w:style>
  <w:style w:type="character" w:customStyle="1" w:styleId="HeaderChar">
    <w:name w:val="Header Char"/>
    <w:basedOn w:val="DefaultParagraphFont"/>
    <w:link w:val="Header"/>
    <w:uiPriority w:val="99"/>
    <w:rsid w:val="007A045B"/>
    <w:rPr>
      <w:rFonts w:ascii="Times New Roman" w:eastAsia="Calibri" w:hAnsi="Times New Roman" w:cs="Times New Roman"/>
      <w:sz w:val="24"/>
      <w:szCs w:val="24"/>
      <w:lang w:eastAsia="lv-LV"/>
    </w:rPr>
  </w:style>
  <w:style w:type="paragraph" w:styleId="Footer">
    <w:name w:val="footer"/>
    <w:basedOn w:val="Normal"/>
    <w:link w:val="FooterChar"/>
    <w:uiPriority w:val="99"/>
    <w:unhideWhenUsed/>
    <w:rsid w:val="007A045B"/>
    <w:pPr>
      <w:tabs>
        <w:tab w:val="center" w:pos="4153"/>
        <w:tab w:val="right" w:pos="8306"/>
      </w:tabs>
    </w:pPr>
  </w:style>
  <w:style w:type="character" w:customStyle="1" w:styleId="FooterChar">
    <w:name w:val="Footer Char"/>
    <w:basedOn w:val="DefaultParagraphFont"/>
    <w:link w:val="Footer"/>
    <w:uiPriority w:val="99"/>
    <w:rsid w:val="007A045B"/>
    <w:rPr>
      <w:rFonts w:ascii="Times New Roman" w:eastAsia="Calibri"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B94D4E"/>
    <w:pPr>
      <w:spacing w:after="0"/>
    </w:pPr>
    <w:rPr>
      <w:rFonts w:ascii="Times New Roman" w:hAnsi="Times New Roman"/>
      <w:b/>
      <w:bCs/>
      <w:lang w:val="lv-LV" w:eastAsia="lv-LV"/>
    </w:rPr>
  </w:style>
  <w:style w:type="character" w:customStyle="1" w:styleId="CommentSubjectChar">
    <w:name w:val="Comment Subject Char"/>
    <w:basedOn w:val="CommentTextChar"/>
    <w:link w:val="CommentSubject"/>
    <w:uiPriority w:val="99"/>
    <w:semiHidden/>
    <w:rsid w:val="00B94D4E"/>
    <w:rPr>
      <w:rFonts w:ascii="Times New Roman" w:eastAsia="Calibri" w:hAnsi="Times New Roman" w:cs="Times New Roman"/>
      <w:b/>
      <w:bCs/>
      <w:sz w:val="20"/>
      <w:szCs w:val="20"/>
      <w:lang w:val="x-none" w:eastAsia="lv-LV"/>
    </w:rPr>
  </w:style>
  <w:style w:type="paragraph" w:styleId="Revision">
    <w:name w:val="Revision"/>
    <w:hidden/>
    <w:uiPriority w:val="99"/>
    <w:semiHidden/>
    <w:rsid w:val="004040B1"/>
    <w:pPr>
      <w:spacing w:after="0" w:line="240" w:lineRule="auto"/>
    </w:pPr>
    <w:rPr>
      <w:rFonts w:ascii="Times New Roman" w:eastAsia="Calibri" w:hAnsi="Times New Roman" w:cs="Times New Roman"/>
      <w:sz w:val="24"/>
      <w:szCs w:val="24"/>
      <w:lang w:eastAsia="lv-LV"/>
    </w:rPr>
  </w:style>
  <w:style w:type="character" w:styleId="FootnoteReference">
    <w:name w:val="footnote reference"/>
    <w:aliases w:val="Footnote Reference Number,Footnote symbol,SUPERS,Footnote Refernece,ftref,Footnote Reference Superscript,stylish,BVI fnr,Fußnotenzeichen_Raxen,callout,Vēres atsauce,Odwołanie przypisu,Footnotes refss,Ref,de nota al pie,Times 10 Point"/>
    <w:basedOn w:val="DefaultParagraphFont"/>
    <w:link w:val="CharCharCharChar"/>
    <w:uiPriority w:val="99"/>
    <w:unhideWhenUsed/>
    <w:rsid w:val="00B31328"/>
    <w:rPr>
      <w:vertAlign w:val="superscript"/>
    </w:rPr>
  </w:style>
  <w:style w:type="paragraph" w:styleId="FootnoteText">
    <w:name w:val="footnote text"/>
    <w:aliases w:val="Footnote Text Char2,Footnote Text Char1 Char,Footnote Text Char Char Char,Footnote Text Char Char Char Char Char Char Char,Footnote Char Char Char Char Char Char Char,Fußnote Char Char Char Char Char Char Char,Footnote Text Char Char,f"/>
    <w:basedOn w:val="Normal"/>
    <w:link w:val="FootnoteTextChar"/>
    <w:uiPriority w:val="99"/>
    <w:unhideWhenUsed/>
    <w:rsid w:val="003F61CB"/>
    <w:rPr>
      <w:sz w:val="20"/>
      <w:szCs w:val="20"/>
    </w:rPr>
  </w:style>
  <w:style w:type="character" w:customStyle="1" w:styleId="FootnoteTextChar">
    <w:name w:val="Footnote Text Char"/>
    <w:aliases w:val="Footnote Text Char2 Char,Footnote Text Char1 Char Char,Footnote Text Char Char Char Char,Footnote Text Char Char Char Char Char Char Char Char,Footnote Char Char Char Char Char Char Char Char,Footnote Text Char Char Char1,f Char"/>
    <w:basedOn w:val="DefaultParagraphFont"/>
    <w:link w:val="FootnoteText"/>
    <w:uiPriority w:val="99"/>
    <w:rsid w:val="003F61CB"/>
    <w:rPr>
      <w:rFonts w:ascii="Times New Roman" w:eastAsia="Calibri" w:hAnsi="Times New Roman" w:cs="Times New Roman"/>
      <w:sz w:val="20"/>
      <w:szCs w:val="20"/>
      <w:lang w:eastAsia="lv-LV"/>
    </w:rPr>
  </w:style>
  <w:style w:type="paragraph" w:customStyle="1" w:styleId="CharCharCharChar">
    <w:name w:val="Char Char Char Char"/>
    <w:aliases w:val="Char2"/>
    <w:basedOn w:val="Normal"/>
    <w:next w:val="Normal"/>
    <w:link w:val="FootnoteReference"/>
    <w:uiPriority w:val="99"/>
    <w:rsid w:val="00782C36"/>
    <w:pPr>
      <w:spacing w:after="160" w:line="240" w:lineRule="exact"/>
      <w:jc w:val="both"/>
      <w:textAlignment w:val="baseline"/>
    </w:pPr>
    <w:rPr>
      <w:rFonts w:asciiTheme="minorHAnsi" w:eastAsiaTheme="minorHAnsi" w:hAnsiTheme="minorHAnsi" w:cstheme="minorBidi"/>
      <w:sz w:val="22"/>
      <w:szCs w:val="22"/>
      <w:vertAlign w:val="superscript"/>
      <w:lang w:eastAsia="en-US"/>
    </w:rPr>
  </w:style>
  <w:style w:type="paragraph" w:styleId="PlainText">
    <w:name w:val="Plain Text"/>
    <w:basedOn w:val="Normal"/>
    <w:link w:val="PlainTextChar"/>
    <w:uiPriority w:val="99"/>
    <w:unhideWhenUsed/>
    <w:rsid w:val="00782C36"/>
    <w:rPr>
      <w:rFonts w:ascii="Calibri" w:hAnsi="Calibri"/>
      <w:color w:val="1F497D"/>
      <w:sz w:val="22"/>
      <w:szCs w:val="21"/>
      <w:lang w:val="x-none" w:eastAsia="en-US"/>
    </w:rPr>
  </w:style>
  <w:style w:type="character" w:customStyle="1" w:styleId="PlainTextChar">
    <w:name w:val="Plain Text Char"/>
    <w:basedOn w:val="DefaultParagraphFont"/>
    <w:link w:val="PlainText"/>
    <w:uiPriority w:val="99"/>
    <w:rsid w:val="00782C36"/>
    <w:rPr>
      <w:rFonts w:ascii="Calibri" w:eastAsia="Calibri" w:hAnsi="Calibri" w:cs="Times New Roman"/>
      <w:color w:val="1F497D"/>
      <w:szCs w:val="21"/>
      <w:lang w:val="x-none"/>
    </w:rPr>
  </w:style>
  <w:style w:type="character" w:styleId="FollowedHyperlink">
    <w:name w:val="FollowedHyperlink"/>
    <w:basedOn w:val="DefaultParagraphFont"/>
    <w:uiPriority w:val="99"/>
    <w:semiHidden/>
    <w:unhideWhenUsed/>
    <w:rsid w:val="004A235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22801">
      <w:bodyDiv w:val="1"/>
      <w:marLeft w:val="0"/>
      <w:marRight w:val="0"/>
      <w:marTop w:val="0"/>
      <w:marBottom w:val="0"/>
      <w:divBdr>
        <w:top w:val="none" w:sz="0" w:space="0" w:color="auto"/>
        <w:left w:val="none" w:sz="0" w:space="0" w:color="auto"/>
        <w:bottom w:val="none" w:sz="0" w:space="0" w:color="auto"/>
        <w:right w:val="none" w:sz="0" w:space="0" w:color="auto"/>
      </w:divBdr>
    </w:div>
    <w:div w:id="96683372">
      <w:bodyDiv w:val="1"/>
      <w:marLeft w:val="0"/>
      <w:marRight w:val="0"/>
      <w:marTop w:val="0"/>
      <w:marBottom w:val="0"/>
      <w:divBdr>
        <w:top w:val="none" w:sz="0" w:space="0" w:color="auto"/>
        <w:left w:val="none" w:sz="0" w:space="0" w:color="auto"/>
        <w:bottom w:val="none" w:sz="0" w:space="0" w:color="auto"/>
        <w:right w:val="none" w:sz="0" w:space="0" w:color="auto"/>
      </w:divBdr>
    </w:div>
    <w:div w:id="152262387">
      <w:bodyDiv w:val="1"/>
      <w:marLeft w:val="0"/>
      <w:marRight w:val="0"/>
      <w:marTop w:val="0"/>
      <w:marBottom w:val="0"/>
      <w:divBdr>
        <w:top w:val="none" w:sz="0" w:space="0" w:color="auto"/>
        <w:left w:val="none" w:sz="0" w:space="0" w:color="auto"/>
        <w:bottom w:val="none" w:sz="0" w:space="0" w:color="auto"/>
        <w:right w:val="none" w:sz="0" w:space="0" w:color="auto"/>
      </w:divBdr>
    </w:div>
    <w:div w:id="158230493">
      <w:bodyDiv w:val="1"/>
      <w:marLeft w:val="0"/>
      <w:marRight w:val="0"/>
      <w:marTop w:val="0"/>
      <w:marBottom w:val="0"/>
      <w:divBdr>
        <w:top w:val="none" w:sz="0" w:space="0" w:color="auto"/>
        <w:left w:val="none" w:sz="0" w:space="0" w:color="auto"/>
        <w:bottom w:val="none" w:sz="0" w:space="0" w:color="auto"/>
        <w:right w:val="none" w:sz="0" w:space="0" w:color="auto"/>
      </w:divBdr>
    </w:div>
    <w:div w:id="219175935">
      <w:bodyDiv w:val="1"/>
      <w:marLeft w:val="0"/>
      <w:marRight w:val="0"/>
      <w:marTop w:val="0"/>
      <w:marBottom w:val="0"/>
      <w:divBdr>
        <w:top w:val="none" w:sz="0" w:space="0" w:color="auto"/>
        <w:left w:val="none" w:sz="0" w:space="0" w:color="auto"/>
        <w:bottom w:val="none" w:sz="0" w:space="0" w:color="auto"/>
        <w:right w:val="none" w:sz="0" w:space="0" w:color="auto"/>
      </w:divBdr>
    </w:div>
    <w:div w:id="242955008">
      <w:bodyDiv w:val="1"/>
      <w:marLeft w:val="0"/>
      <w:marRight w:val="0"/>
      <w:marTop w:val="0"/>
      <w:marBottom w:val="0"/>
      <w:divBdr>
        <w:top w:val="none" w:sz="0" w:space="0" w:color="auto"/>
        <w:left w:val="none" w:sz="0" w:space="0" w:color="auto"/>
        <w:bottom w:val="none" w:sz="0" w:space="0" w:color="auto"/>
        <w:right w:val="none" w:sz="0" w:space="0" w:color="auto"/>
      </w:divBdr>
    </w:div>
    <w:div w:id="255794755">
      <w:bodyDiv w:val="1"/>
      <w:marLeft w:val="0"/>
      <w:marRight w:val="0"/>
      <w:marTop w:val="0"/>
      <w:marBottom w:val="0"/>
      <w:divBdr>
        <w:top w:val="none" w:sz="0" w:space="0" w:color="auto"/>
        <w:left w:val="none" w:sz="0" w:space="0" w:color="auto"/>
        <w:bottom w:val="none" w:sz="0" w:space="0" w:color="auto"/>
        <w:right w:val="none" w:sz="0" w:space="0" w:color="auto"/>
      </w:divBdr>
    </w:div>
    <w:div w:id="333193406">
      <w:bodyDiv w:val="1"/>
      <w:marLeft w:val="0"/>
      <w:marRight w:val="0"/>
      <w:marTop w:val="0"/>
      <w:marBottom w:val="0"/>
      <w:divBdr>
        <w:top w:val="none" w:sz="0" w:space="0" w:color="auto"/>
        <w:left w:val="none" w:sz="0" w:space="0" w:color="auto"/>
        <w:bottom w:val="none" w:sz="0" w:space="0" w:color="auto"/>
        <w:right w:val="none" w:sz="0" w:space="0" w:color="auto"/>
      </w:divBdr>
    </w:div>
    <w:div w:id="343096962">
      <w:bodyDiv w:val="1"/>
      <w:marLeft w:val="0"/>
      <w:marRight w:val="0"/>
      <w:marTop w:val="0"/>
      <w:marBottom w:val="0"/>
      <w:divBdr>
        <w:top w:val="none" w:sz="0" w:space="0" w:color="auto"/>
        <w:left w:val="none" w:sz="0" w:space="0" w:color="auto"/>
        <w:bottom w:val="none" w:sz="0" w:space="0" w:color="auto"/>
        <w:right w:val="none" w:sz="0" w:space="0" w:color="auto"/>
      </w:divBdr>
    </w:div>
    <w:div w:id="356468985">
      <w:bodyDiv w:val="1"/>
      <w:marLeft w:val="0"/>
      <w:marRight w:val="0"/>
      <w:marTop w:val="0"/>
      <w:marBottom w:val="0"/>
      <w:divBdr>
        <w:top w:val="none" w:sz="0" w:space="0" w:color="auto"/>
        <w:left w:val="none" w:sz="0" w:space="0" w:color="auto"/>
        <w:bottom w:val="none" w:sz="0" w:space="0" w:color="auto"/>
        <w:right w:val="none" w:sz="0" w:space="0" w:color="auto"/>
      </w:divBdr>
    </w:div>
    <w:div w:id="493835723">
      <w:bodyDiv w:val="1"/>
      <w:marLeft w:val="0"/>
      <w:marRight w:val="0"/>
      <w:marTop w:val="0"/>
      <w:marBottom w:val="0"/>
      <w:divBdr>
        <w:top w:val="none" w:sz="0" w:space="0" w:color="auto"/>
        <w:left w:val="none" w:sz="0" w:space="0" w:color="auto"/>
        <w:bottom w:val="none" w:sz="0" w:space="0" w:color="auto"/>
        <w:right w:val="none" w:sz="0" w:space="0" w:color="auto"/>
      </w:divBdr>
    </w:div>
    <w:div w:id="692264794">
      <w:bodyDiv w:val="1"/>
      <w:marLeft w:val="0"/>
      <w:marRight w:val="0"/>
      <w:marTop w:val="0"/>
      <w:marBottom w:val="0"/>
      <w:divBdr>
        <w:top w:val="none" w:sz="0" w:space="0" w:color="auto"/>
        <w:left w:val="none" w:sz="0" w:space="0" w:color="auto"/>
        <w:bottom w:val="none" w:sz="0" w:space="0" w:color="auto"/>
        <w:right w:val="none" w:sz="0" w:space="0" w:color="auto"/>
      </w:divBdr>
    </w:div>
    <w:div w:id="810441502">
      <w:bodyDiv w:val="1"/>
      <w:marLeft w:val="0"/>
      <w:marRight w:val="0"/>
      <w:marTop w:val="0"/>
      <w:marBottom w:val="0"/>
      <w:divBdr>
        <w:top w:val="none" w:sz="0" w:space="0" w:color="auto"/>
        <w:left w:val="none" w:sz="0" w:space="0" w:color="auto"/>
        <w:bottom w:val="none" w:sz="0" w:space="0" w:color="auto"/>
        <w:right w:val="none" w:sz="0" w:space="0" w:color="auto"/>
      </w:divBdr>
    </w:div>
    <w:div w:id="831530815">
      <w:bodyDiv w:val="1"/>
      <w:marLeft w:val="0"/>
      <w:marRight w:val="0"/>
      <w:marTop w:val="0"/>
      <w:marBottom w:val="0"/>
      <w:divBdr>
        <w:top w:val="none" w:sz="0" w:space="0" w:color="auto"/>
        <w:left w:val="none" w:sz="0" w:space="0" w:color="auto"/>
        <w:bottom w:val="none" w:sz="0" w:space="0" w:color="auto"/>
        <w:right w:val="none" w:sz="0" w:space="0" w:color="auto"/>
      </w:divBdr>
    </w:div>
    <w:div w:id="873423450">
      <w:bodyDiv w:val="1"/>
      <w:marLeft w:val="0"/>
      <w:marRight w:val="0"/>
      <w:marTop w:val="0"/>
      <w:marBottom w:val="0"/>
      <w:divBdr>
        <w:top w:val="none" w:sz="0" w:space="0" w:color="auto"/>
        <w:left w:val="none" w:sz="0" w:space="0" w:color="auto"/>
        <w:bottom w:val="none" w:sz="0" w:space="0" w:color="auto"/>
        <w:right w:val="none" w:sz="0" w:space="0" w:color="auto"/>
      </w:divBdr>
    </w:div>
    <w:div w:id="1013261908">
      <w:bodyDiv w:val="1"/>
      <w:marLeft w:val="0"/>
      <w:marRight w:val="0"/>
      <w:marTop w:val="0"/>
      <w:marBottom w:val="0"/>
      <w:divBdr>
        <w:top w:val="none" w:sz="0" w:space="0" w:color="auto"/>
        <w:left w:val="none" w:sz="0" w:space="0" w:color="auto"/>
        <w:bottom w:val="none" w:sz="0" w:space="0" w:color="auto"/>
        <w:right w:val="none" w:sz="0" w:space="0" w:color="auto"/>
      </w:divBdr>
    </w:div>
    <w:div w:id="1076509641">
      <w:bodyDiv w:val="1"/>
      <w:marLeft w:val="0"/>
      <w:marRight w:val="0"/>
      <w:marTop w:val="0"/>
      <w:marBottom w:val="0"/>
      <w:divBdr>
        <w:top w:val="none" w:sz="0" w:space="0" w:color="auto"/>
        <w:left w:val="none" w:sz="0" w:space="0" w:color="auto"/>
        <w:bottom w:val="none" w:sz="0" w:space="0" w:color="auto"/>
        <w:right w:val="none" w:sz="0" w:space="0" w:color="auto"/>
      </w:divBdr>
    </w:div>
    <w:div w:id="1195970955">
      <w:bodyDiv w:val="1"/>
      <w:marLeft w:val="0"/>
      <w:marRight w:val="0"/>
      <w:marTop w:val="0"/>
      <w:marBottom w:val="0"/>
      <w:divBdr>
        <w:top w:val="none" w:sz="0" w:space="0" w:color="auto"/>
        <w:left w:val="none" w:sz="0" w:space="0" w:color="auto"/>
        <w:bottom w:val="none" w:sz="0" w:space="0" w:color="auto"/>
        <w:right w:val="none" w:sz="0" w:space="0" w:color="auto"/>
      </w:divBdr>
    </w:div>
    <w:div w:id="1311521766">
      <w:bodyDiv w:val="1"/>
      <w:marLeft w:val="0"/>
      <w:marRight w:val="0"/>
      <w:marTop w:val="0"/>
      <w:marBottom w:val="0"/>
      <w:divBdr>
        <w:top w:val="none" w:sz="0" w:space="0" w:color="auto"/>
        <w:left w:val="none" w:sz="0" w:space="0" w:color="auto"/>
        <w:bottom w:val="none" w:sz="0" w:space="0" w:color="auto"/>
        <w:right w:val="none" w:sz="0" w:space="0" w:color="auto"/>
      </w:divBdr>
    </w:div>
    <w:div w:id="1353460752">
      <w:bodyDiv w:val="1"/>
      <w:marLeft w:val="0"/>
      <w:marRight w:val="0"/>
      <w:marTop w:val="0"/>
      <w:marBottom w:val="0"/>
      <w:divBdr>
        <w:top w:val="none" w:sz="0" w:space="0" w:color="auto"/>
        <w:left w:val="none" w:sz="0" w:space="0" w:color="auto"/>
        <w:bottom w:val="none" w:sz="0" w:space="0" w:color="auto"/>
        <w:right w:val="none" w:sz="0" w:space="0" w:color="auto"/>
      </w:divBdr>
    </w:div>
    <w:div w:id="1456213429">
      <w:bodyDiv w:val="1"/>
      <w:marLeft w:val="0"/>
      <w:marRight w:val="0"/>
      <w:marTop w:val="0"/>
      <w:marBottom w:val="0"/>
      <w:divBdr>
        <w:top w:val="none" w:sz="0" w:space="0" w:color="auto"/>
        <w:left w:val="none" w:sz="0" w:space="0" w:color="auto"/>
        <w:bottom w:val="none" w:sz="0" w:space="0" w:color="auto"/>
        <w:right w:val="none" w:sz="0" w:space="0" w:color="auto"/>
      </w:divBdr>
    </w:div>
    <w:div w:id="1465346102">
      <w:bodyDiv w:val="1"/>
      <w:marLeft w:val="0"/>
      <w:marRight w:val="0"/>
      <w:marTop w:val="0"/>
      <w:marBottom w:val="0"/>
      <w:divBdr>
        <w:top w:val="none" w:sz="0" w:space="0" w:color="auto"/>
        <w:left w:val="none" w:sz="0" w:space="0" w:color="auto"/>
        <w:bottom w:val="none" w:sz="0" w:space="0" w:color="auto"/>
        <w:right w:val="none" w:sz="0" w:space="0" w:color="auto"/>
      </w:divBdr>
    </w:div>
    <w:div w:id="1467772423">
      <w:bodyDiv w:val="1"/>
      <w:marLeft w:val="0"/>
      <w:marRight w:val="0"/>
      <w:marTop w:val="0"/>
      <w:marBottom w:val="0"/>
      <w:divBdr>
        <w:top w:val="none" w:sz="0" w:space="0" w:color="auto"/>
        <w:left w:val="none" w:sz="0" w:space="0" w:color="auto"/>
        <w:bottom w:val="none" w:sz="0" w:space="0" w:color="auto"/>
        <w:right w:val="none" w:sz="0" w:space="0" w:color="auto"/>
      </w:divBdr>
    </w:div>
    <w:div w:id="1554002156">
      <w:bodyDiv w:val="1"/>
      <w:marLeft w:val="0"/>
      <w:marRight w:val="0"/>
      <w:marTop w:val="0"/>
      <w:marBottom w:val="0"/>
      <w:divBdr>
        <w:top w:val="none" w:sz="0" w:space="0" w:color="auto"/>
        <w:left w:val="none" w:sz="0" w:space="0" w:color="auto"/>
        <w:bottom w:val="none" w:sz="0" w:space="0" w:color="auto"/>
        <w:right w:val="none" w:sz="0" w:space="0" w:color="auto"/>
      </w:divBdr>
    </w:div>
    <w:div w:id="1592157338">
      <w:bodyDiv w:val="1"/>
      <w:marLeft w:val="0"/>
      <w:marRight w:val="0"/>
      <w:marTop w:val="0"/>
      <w:marBottom w:val="0"/>
      <w:divBdr>
        <w:top w:val="none" w:sz="0" w:space="0" w:color="auto"/>
        <w:left w:val="none" w:sz="0" w:space="0" w:color="auto"/>
        <w:bottom w:val="none" w:sz="0" w:space="0" w:color="auto"/>
        <w:right w:val="none" w:sz="0" w:space="0" w:color="auto"/>
      </w:divBdr>
    </w:div>
    <w:div w:id="1624923925">
      <w:bodyDiv w:val="1"/>
      <w:marLeft w:val="0"/>
      <w:marRight w:val="0"/>
      <w:marTop w:val="0"/>
      <w:marBottom w:val="0"/>
      <w:divBdr>
        <w:top w:val="none" w:sz="0" w:space="0" w:color="auto"/>
        <w:left w:val="none" w:sz="0" w:space="0" w:color="auto"/>
        <w:bottom w:val="none" w:sz="0" w:space="0" w:color="auto"/>
        <w:right w:val="none" w:sz="0" w:space="0" w:color="auto"/>
      </w:divBdr>
    </w:div>
    <w:div w:id="1677734371">
      <w:bodyDiv w:val="1"/>
      <w:marLeft w:val="0"/>
      <w:marRight w:val="0"/>
      <w:marTop w:val="0"/>
      <w:marBottom w:val="0"/>
      <w:divBdr>
        <w:top w:val="none" w:sz="0" w:space="0" w:color="auto"/>
        <w:left w:val="none" w:sz="0" w:space="0" w:color="auto"/>
        <w:bottom w:val="none" w:sz="0" w:space="0" w:color="auto"/>
        <w:right w:val="none" w:sz="0" w:space="0" w:color="auto"/>
      </w:divBdr>
    </w:div>
    <w:div w:id="1697198773">
      <w:bodyDiv w:val="1"/>
      <w:marLeft w:val="0"/>
      <w:marRight w:val="0"/>
      <w:marTop w:val="0"/>
      <w:marBottom w:val="0"/>
      <w:divBdr>
        <w:top w:val="none" w:sz="0" w:space="0" w:color="auto"/>
        <w:left w:val="none" w:sz="0" w:space="0" w:color="auto"/>
        <w:bottom w:val="none" w:sz="0" w:space="0" w:color="auto"/>
        <w:right w:val="none" w:sz="0" w:space="0" w:color="auto"/>
      </w:divBdr>
    </w:div>
    <w:div w:id="1743065930">
      <w:bodyDiv w:val="1"/>
      <w:marLeft w:val="0"/>
      <w:marRight w:val="0"/>
      <w:marTop w:val="0"/>
      <w:marBottom w:val="0"/>
      <w:divBdr>
        <w:top w:val="none" w:sz="0" w:space="0" w:color="auto"/>
        <w:left w:val="none" w:sz="0" w:space="0" w:color="auto"/>
        <w:bottom w:val="none" w:sz="0" w:space="0" w:color="auto"/>
        <w:right w:val="none" w:sz="0" w:space="0" w:color="auto"/>
      </w:divBdr>
    </w:div>
    <w:div w:id="1752047184">
      <w:bodyDiv w:val="1"/>
      <w:marLeft w:val="0"/>
      <w:marRight w:val="0"/>
      <w:marTop w:val="0"/>
      <w:marBottom w:val="0"/>
      <w:divBdr>
        <w:top w:val="none" w:sz="0" w:space="0" w:color="auto"/>
        <w:left w:val="none" w:sz="0" w:space="0" w:color="auto"/>
        <w:bottom w:val="none" w:sz="0" w:space="0" w:color="auto"/>
        <w:right w:val="none" w:sz="0" w:space="0" w:color="auto"/>
      </w:divBdr>
    </w:div>
    <w:div w:id="1763531181">
      <w:bodyDiv w:val="1"/>
      <w:marLeft w:val="0"/>
      <w:marRight w:val="0"/>
      <w:marTop w:val="0"/>
      <w:marBottom w:val="0"/>
      <w:divBdr>
        <w:top w:val="none" w:sz="0" w:space="0" w:color="auto"/>
        <w:left w:val="none" w:sz="0" w:space="0" w:color="auto"/>
        <w:bottom w:val="none" w:sz="0" w:space="0" w:color="auto"/>
        <w:right w:val="none" w:sz="0" w:space="0" w:color="auto"/>
      </w:divBdr>
    </w:div>
    <w:div w:id="1773939886">
      <w:bodyDiv w:val="1"/>
      <w:marLeft w:val="0"/>
      <w:marRight w:val="0"/>
      <w:marTop w:val="0"/>
      <w:marBottom w:val="0"/>
      <w:divBdr>
        <w:top w:val="none" w:sz="0" w:space="0" w:color="auto"/>
        <w:left w:val="none" w:sz="0" w:space="0" w:color="auto"/>
        <w:bottom w:val="none" w:sz="0" w:space="0" w:color="auto"/>
        <w:right w:val="none" w:sz="0" w:space="0" w:color="auto"/>
      </w:divBdr>
    </w:div>
    <w:div w:id="1803233875">
      <w:bodyDiv w:val="1"/>
      <w:marLeft w:val="0"/>
      <w:marRight w:val="0"/>
      <w:marTop w:val="0"/>
      <w:marBottom w:val="0"/>
      <w:divBdr>
        <w:top w:val="none" w:sz="0" w:space="0" w:color="auto"/>
        <w:left w:val="none" w:sz="0" w:space="0" w:color="auto"/>
        <w:bottom w:val="none" w:sz="0" w:space="0" w:color="auto"/>
        <w:right w:val="none" w:sz="0" w:space="0" w:color="auto"/>
      </w:divBdr>
    </w:div>
    <w:div w:id="1831168189">
      <w:bodyDiv w:val="1"/>
      <w:marLeft w:val="0"/>
      <w:marRight w:val="0"/>
      <w:marTop w:val="0"/>
      <w:marBottom w:val="0"/>
      <w:divBdr>
        <w:top w:val="none" w:sz="0" w:space="0" w:color="auto"/>
        <w:left w:val="none" w:sz="0" w:space="0" w:color="auto"/>
        <w:bottom w:val="none" w:sz="0" w:space="0" w:color="auto"/>
        <w:right w:val="none" w:sz="0" w:space="0" w:color="auto"/>
      </w:divBdr>
    </w:div>
    <w:div w:id="2067795433">
      <w:bodyDiv w:val="1"/>
      <w:marLeft w:val="0"/>
      <w:marRight w:val="0"/>
      <w:marTop w:val="0"/>
      <w:marBottom w:val="0"/>
      <w:divBdr>
        <w:top w:val="none" w:sz="0" w:space="0" w:color="auto"/>
        <w:left w:val="none" w:sz="0" w:space="0" w:color="auto"/>
        <w:bottom w:val="none" w:sz="0" w:space="0" w:color="auto"/>
        <w:right w:val="none" w:sz="0" w:space="0" w:color="auto"/>
      </w:divBdr>
    </w:div>
    <w:div w:id="2095662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zm.gov.lv/lv/sabiedribas-lidzdaliba/sabiedriskajai-apspriesanai-nodotie-normativo-aktu-projekti"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inta.svirksta@izm.gov.lv" TargetMode="External"/><Relationship Id="rId4" Type="http://schemas.openxmlformats.org/officeDocument/2006/relationships/settings" Target="settings.xml"/><Relationship Id="rId9" Type="http://schemas.openxmlformats.org/officeDocument/2006/relationships/hyperlink" Target="https://www.izm.gov.lv/lv/sabiedribas-lidzdaliba/sabiedriskajai-apspriesanai-nodotie-normativo-aktu-projekt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xUriServ/LexUriServ.do?uri=OJ:L:2006:081:0025:0035:L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27663-B95D-4262-B783-4B3E2894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16093</Words>
  <Characters>9174</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Anotācija</vt:lpstr>
    </vt:vector>
  </TitlesOfParts>
  <Company>IZM</Company>
  <LinksUpToDate>false</LinksUpToDate>
  <CharactersWithSpaces>25217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Anotācija</dc:title>
  <dc:subject/>
  <dc:creator>Švirksta</dc:creator>
  <dc:description>Švirksta
67047878
Inta.Svirksta@izm.gov.lv</dc:description>
  <cp:lastModifiedBy>Inta Švirksta</cp:lastModifiedBy>
  <cp:revision>3</cp:revision>
  <cp:lastPrinted>2019-03-15T11:09:00Z</cp:lastPrinted>
  <dcterms:created xsi:type="dcterms:W3CDTF">2020-12-03T16:40:00Z</dcterms:created>
  <dcterms:modified xsi:type="dcterms:W3CDTF">2020-12-03T16:57:00Z</dcterms:modified>
</cp:coreProperties>
</file>