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8DBE7" w14:textId="77777777" w:rsidR="00863953" w:rsidRPr="004A5EAF" w:rsidRDefault="00863953" w:rsidP="004E2D41">
      <w:pPr>
        <w:ind w:left="-142" w:right="-199"/>
        <w:jc w:val="center"/>
        <w:rPr>
          <w:b/>
          <w:color w:val="auto"/>
          <w:sz w:val="26"/>
          <w:szCs w:val="26"/>
        </w:rPr>
      </w:pPr>
      <w:bookmarkStart w:id="0" w:name="_gjdgxs" w:colFirst="0" w:colLast="0"/>
      <w:bookmarkStart w:id="1" w:name="OLE_LINK1"/>
      <w:bookmarkEnd w:id="0"/>
      <w:r w:rsidRPr="004A5EAF">
        <w:rPr>
          <w:b/>
          <w:color w:val="auto"/>
          <w:sz w:val="26"/>
          <w:szCs w:val="26"/>
        </w:rPr>
        <w:t>Ministru kabineta noteikumu projekta “</w:t>
      </w:r>
      <w:r w:rsidR="008E01CF" w:rsidRPr="004A5EAF">
        <w:rPr>
          <w:b/>
          <w:color w:val="auto"/>
          <w:sz w:val="26"/>
          <w:szCs w:val="26"/>
        </w:rPr>
        <w:t>Šaušanas instruktoru sertificēšanas noteikumi</w:t>
      </w:r>
      <w:r w:rsidRPr="004A5EAF">
        <w:rPr>
          <w:b/>
          <w:color w:val="auto"/>
          <w:sz w:val="26"/>
          <w:szCs w:val="26"/>
        </w:rPr>
        <w:t>” sākotnējās ietekmes novērtējuma ziņojums (anotācija)</w:t>
      </w:r>
    </w:p>
    <w:p w14:paraId="10B922EF" w14:textId="77777777" w:rsidR="00863953" w:rsidRPr="004A5EAF" w:rsidRDefault="00863953" w:rsidP="004E2D41">
      <w:pPr>
        <w:shd w:val="clear" w:color="auto" w:fill="FFFFFF"/>
        <w:ind w:firstLine="300"/>
        <w:jc w:val="center"/>
        <w:rPr>
          <w:color w:val="auto"/>
        </w:rPr>
      </w:pPr>
    </w:p>
    <w:tbl>
      <w:tblPr>
        <w:tblW w:w="1020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7088"/>
      </w:tblGrid>
      <w:tr w:rsidR="00DE2CC0" w:rsidRPr="004A5EAF" w14:paraId="5D447BF4" w14:textId="77777777" w:rsidTr="004A5EAF">
        <w:tc>
          <w:tcPr>
            <w:tcW w:w="10207" w:type="dxa"/>
            <w:gridSpan w:val="2"/>
            <w:tcBorders>
              <w:top w:val="single" w:sz="4" w:space="0" w:color="000000"/>
              <w:left w:val="single" w:sz="4" w:space="0" w:color="000000"/>
              <w:bottom w:val="single" w:sz="4" w:space="0" w:color="000000"/>
              <w:right w:val="single" w:sz="4" w:space="0" w:color="000000"/>
            </w:tcBorders>
            <w:shd w:val="clear" w:color="auto" w:fill="FFFFFF"/>
          </w:tcPr>
          <w:p w14:paraId="297DE199" w14:textId="77777777" w:rsidR="00863953" w:rsidRPr="004A5EAF" w:rsidRDefault="00863953" w:rsidP="004E2D41">
            <w:pPr>
              <w:jc w:val="center"/>
              <w:rPr>
                <w:b/>
                <w:color w:val="auto"/>
              </w:rPr>
            </w:pPr>
            <w:r w:rsidRPr="004A5EAF">
              <w:rPr>
                <w:b/>
                <w:color w:val="auto"/>
              </w:rPr>
              <w:t xml:space="preserve">Tiesību akta projekta anotācijas kopsavilkums </w:t>
            </w:r>
          </w:p>
        </w:tc>
      </w:tr>
      <w:tr w:rsidR="00DE2CC0" w:rsidRPr="004A5EAF" w14:paraId="704CCACB" w14:textId="77777777" w:rsidTr="004A5EAF">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27542386" w14:textId="77777777" w:rsidR="00863953" w:rsidRPr="004A5EAF" w:rsidRDefault="00863953" w:rsidP="004E2D41">
            <w:pPr>
              <w:rPr>
                <w:color w:val="auto"/>
              </w:rPr>
            </w:pPr>
            <w:r w:rsidRPr="004A5EAF">
              <w:rPr>
                <w:color w:val="auto"/>
              </w:rPr>
              <w:t xml:space="preserve">Mērķis, risinājums un projekta spēkā stāšanās laiks </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14:paraId="61E38406" w14:textId="4731ED8D" w:rsidR="00863953" w:rsidRPr="004A5EAF" w:rsidRDefault="008E01CF" w:rsidP="004E2D41">
            <w:pPr>
              <w:jc w:val="both"/>
              <w:rPr>
                <w:color w:val="auto"/>
              </w:rPr>
            </w:pPr>
            <w:r w:rsidRPr="004A5EAF">
              <w:rPr>
                <w:bCs/>
                <w:color w:val="auto"/>
              </w:rPr>
              <w:t xml:space="preserve">Ministru kabineta noteikumu projekts “Šaušanas instruktoru sertificēšanas noteikumi” (turpmāk – </w:t>
            </w:r>
            <w:r w:rsidR="00213F1D" w:rsidRPr="004A5EAF">
              <w:rPr>
                <w:bCs/>
                <w:color w:val="auto"/>
              </w:rPr>
              <w:t>No</w:t>
            </w:r>
            <w:r w:rsidRPr="004A5EAF">
              <w:rPr>
                <w:bCs/>
                <w:color w:val="auto"/>
              </w:rPr>
              <w:t xml:space="preserve">teikumu projekts) </w:t>
            </w:r>
            <w:r w:rsidRPr="004A5EAF">
              <w:rPr>
                <w:color w:val="auto"/>
              </w:rPr>
              <w:t xml:space="preserve"> izstrādāts, lai nodrošinātu </w:t>
            </w:r>
            <w:r w:rsidR="002F14AD" w:rsidRPr="004A5EAF">
              <w:rPr>
                <w:color w:val="auto"/>
              </w:rPr>
              <w:t xml:space="preserve">Ieroču aprites likums </w:t>
            </w:r>
            <w:r w:rsidRPr="004A5EAF">
              <w:rPr>
                <w:color w:val="auto"/>
              </w:rPr>
              <w:t xml:space="preserve">72. panta </w:t>
            </w:r>
            <w:r w:rsidR="008C4D74" w:rsidRPr="004A5EAF">
              <w:rPr>
                <w:color w:val="auto"/>
              </w:rPr>
              <w:t>vienpadsmitajā</w:t>
            </w:r>
            <w:r w:rsidRPr="004A5EAF">
              <w:rPr>
                <w:color w:val="auto"/>
              </w:rPr>
              <w:t xml:space="preserve"> daļā Ministru </w:t>
            </w:r>
            <w:r w:rsidR="002F14AD" w:rsidRPr="004A5EAF">
              <w:rPr>
                <w:color w:val="auto"/>
              </w:rPr>
              <w:t xml:space="preserve">kabinetam dotā uzdevuma izpildi un noteiktu </w:t>
            </w:r>
            <w:r w:rsidR="002F14AD" w:rsidRPr="004A5EAF">
              <w:t>šaušanas instruktoru sertificēšanas kārtību un kritērijus, kā arī maksu par šaušanas instruktoru sertificēšanu.</w:t>
            </w:r>
          </w:p>
        </w:tc>
      </w:tr>
    </w:tbl>
    <w:p w14:paraId="4D0CCE2C" w14:textId="77777777" w:rsidR="00863953" w:rsidRPr="004A5EAF" w:rsidRDefault="00863953" w:rsidP="004E2D41">
      <w:pPr>
        <w:shd w:val="clear" w:color="auto" w:fill="FFFFFF"/>
        <w:ind w:firstLine="300"/>
        <w:jc w:val="center"/>
        <w:rPr>
          <w:color w:val="auto"/>
        </w:rPr>
      </w:pPr>
    </w:p>
    <w:tbl>
      <w:tblPr>
        <w:tblW w:w="10210"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25"/>
        <w:gridCol w:w="2694"/>
        <w:gridCol w:w="7091"/>
      </w:tblGrid>
      <w:tr w:rsidR="00DE2CC0" w:rsidRPr="004A5EAF" w14:paraId="7B14A514" w14:textId="77777777" w:rsidTr="004A5EAF">
        <w:trPr>
          <w:trHeight w:val="240"/>
        </w:trPr>
        <w:tc>
          <w:tcPr>
            <w:tcW w:w="10210" w:type="dxa"/>
            <w:gridSpan w:val="3"/>
            <w:vAlign w:val="center"/>
          </w:tcPr>
          <w:p w14:paraId="7F4E54B5" w14:textId="77777777" w:rsidR="00863953" w:rsidRPr="004A5EAF" w:rsidRDefault="00863953" w:rsidP="004E2D41">
            <w:pPr>
              <w:jc w:val="center"/>
              <w:rPr>
                <w:b/>
                <w:color w:val="auto"/>
              </w:rPr>
            </w:pPr>
            <w:r w:rsidRPr="004A5EAF">
              <w:rPr>
                <w:b/>
                <w:color w:val="auto"/>
              </w:rPr>
              <w:t>I. Tiesību akta projekta izstrādes nepieciešamība</w:t>
            </w:r>
          </w:p>
        </w:tc>
      </w:tr>
      <w:tr w:rsidR="00DE2CC0" w:rsidRPr="004A5EAF" w14:paraId="6BF1955B" w14:textId="77777777" w:rsidTr="004A5EAF">
        <w:trPr>
          <w:trHeight w:val="180"/>
        </w:trPr>
        <w:tc>
          <w:tcPr>
            <w:tcW w:w="425" w:type="dxa"/>
          </w:tcPr>
          <w:p w14:paraId="620DDDE2" w14:textId="77777777" w:rsidR="00863953" w:rsidRPr="004A5EAF" w:rsidRDefault="00863953" w:rsidP="004E2D41">
            <w:pPr>
              <w:jc w:val="center"/>
              <w:rPr>
                <w:color w:val="auto"/>
              </w:rPr>
            </w:pPr>
            <w:r w:rsidRPr="004A5EAF">
              <w:rPr>
                <w:color w:val="auto"/>
              </w:rPr>
              <w:t>1.</w:t>
            </w:r>
          </w:p>
        </w:tc>
        <w:tc>
          <w:tcPr>
            <w:tcW w:w="2694" w:type="dxa"/>
          </w:tcPr>
          <w:p w14:paraId="49061D6A" w14:textId="77777777" w:rsidR="00863953" w:rsidRPr="004A5EAF" w:rsidRDefault="00863953" w:rsidP="004E2D41">
            <w:pPr>
              <w:rPr>
                <w:color w:val="auto"/>
              </w:rPr>
            </w:pPr>
            <w:r w:rsidRPr="004A5EAF">
              <w:rPr>
                <w:color w:val="auto"/>
              </w:rPr>
              <w:t>Pamatojums</w:t>
            </w:r>
          </w:p>
        </w:tc>
        <w:tc>
          <w:tcPr>
            <w:tcW w:w="7091" w:type="dxa"/>
          </w:tcPr>
          <w:p w14:paraId="3391658D" w14:textId="2211C414" w:rsidR="008E01CF" w:rsidRPr="004A5EAF" w:rsidRDefault="002F14AD" w:rsidP="004E2D41">
            <w:pPr>
              <w:jc w:val="both"/>
              <w:rPr>
                <w:color w:val="auto"/>
              </w:rPr>
            </w:pPr>
            <w:r w:rsidRPr="004A5EAF">
              <w:rPr>
                <w:color w:val="auto"/>
              </w:rPr>
              <w:t xml:space="preserve">Ieroču aprites likuma </w:t>
            </w:r>
            <w:r w:rsidR="008E01CF" w:rsidRPr="004A5EAF">
              <w:rPr>
                <w:color w:val="auto"/>
              </w:rPr>
              <w:t xml:space="preserve">72. panta </w:t>
            </w:r>
            <w:r w:rsidR="008E01CF" w:rsidRPr="004A5EAF">
              <w:rPr>
                <w:bCs/>
                <w:color w:val="auto"/>
              </w:rPr>
              <w:t>vienpadsmitā daļa</w:t>
            </w:r>
            <w:r w:rsidR="00DE7A42" w:rsidRPr="004A5EAF">
              <w:rPr>
                <w:color w:val="auto"/>
              </w:rPr>
              <w:t xml:space="preserve">, kas nosaka, ka </w:t>
            </w:r>
            <w:r w:rsidR="00DE7A42" w:rsidRPr="004A5EAF">
              <w:t>šaušanas instruktoru sertificēšanas kārtību un kritērijus, kā arī maksu par šaušanas instruktoru sertificēšanu nosaka Ministru kabinets.</w:t>
            </w:r>
          </w:p>
        </w:tc>
      </w:tr>
      <w:tr w:rsidR="00DE2CC0" w:rsidRPr="004A5EAF" w14:paraId="11A65EFF" w14:textId="77777777" w:rsidTr="004A5EAF">
        <w:trPr>
          <w:trHeight w:val="460"/>
        </w:trPr>
        <w:tc>
          <w:tcPr>
            <w:tcW w:w="425" w:type="dxa"/>
          </w:tcPr>
          <w:p w14:paraId="2DFBBAAC" w14:textId="77777777" w:rsidR="00093DEF" w:rsidRPr="004A5EAF" w:rsidRDefault="00093DEF" w:rsidP="004E2D41">
            <w:pPr>
              <w:jc w:val="center"/>
              <w:rPr>
                <w:color w:val="auto"/>
              </w:rPr>
            </w:pPr>
            <w:r w:rsidRPr="004A5EAF">
              <w:rPr>
                <w:color w:val="auto"/>
              </w:rPr>
              <w:t>2.</w:t>
            </w:r>
          </w:p>
        </w:tc>
        <w:tc>
          <w:tcPr>
            <w:tcW w:w="2694" w:type="dxa"/>
          </w:tcPr>
          <w:p w14:paraId="2D3520A4" w14:textId="67BEBA3C" w:rsidR="002C24FB" w:rsidRPr="004A5EAF" w:rsidRDefault="00093DEF" w:rsidP="004E2D41">
            <w:pPr>
              <w:rPr>
                <w:color w:val="auto"/>
              </w:rPr>
            </w:pPr>
            <w:r w:rsidRPr="004A5EAF">
              <w:rPr>
                <w:color w:val="auto"/>
              </w:rPr>
              <w:t>Pašreizējā situācija un problēmas, kuru risināšanai tiesību akta projekts izstrādāts, tiesiskā regulējuma mērķis un būtība</w:t>
            </w:r>
          </w:p>
          <w:p w14:paraId="0FDD0489" w14:textId="77777777" w:rsidR="002C24FB" w:rsidRPr="004A5EAF" w:rsidRDefault="002C24FB" w:rsidP="004E2D41"/>
          <w:p w14:paraId="0144571D" w14:textId="77777777" w:rsidR="002C24FB" w:rsidRPr="004A5EAF" w:rsidRDefault="002C24FB" w:rsidP="004E2D41"/>
          <w:p w14:paraId="55821D66" w14:textId="77777777" w:rsidR="002C24FB" w:rsidRPr="004A5EAF" w:rsidRDefault="002C24FB" w:rsidP="004E2D41"/>
          <w:p w14:paraId="77361FA9" w14:textId="77777777" w:rsidR="002C24FB" w:rsidRPr="004A5EAF" w:rsidRDefault="002C24FB" w:rsidP="004E2D41"/>
          <w:p w14:paraId="58B4B277" w14:textId="77777777" w:rsidR="002C24FB" w:rsidRPr="004A5EAF" w:rsidRDefault="002C24FB" w:rsidP="004E2D41"/>
          <w:p w14:paraId="5F534F61" w14:textId="77777777" w:rsidR="002C24FB" w:rsidRPr="004A5EAF" w:rsidRDefault="002C24FB" w:rsidP="004E2D41"/>
          <w:p w14:paraId="542DD85C" w14:textId="77777777" w:rsidR="002C24FB" w:rsidRPr="004A5EAF" w:rsidRDefault="002C24FB" w:rsidP="004E2D41"/>
          <w:p w14:paraId="04327F90" w14:textId="77777777" w:rsidR="002C24FB" w:rsidRPr="004A5EAF" w:rsidRDefault="002C24FB" w:rsidP="004E2D41"/>
          <w:p w14:paraId="60FC1FC7" w14:textId="77777777" w:rsidR="002C24FB" w:rsidRPr="004A5EAF" w:rsidRDefault="002C24FB" w:rsidP="004E2D41"/>
          <w:p w14:paraId="3C3ED701" w14:textId="77777777" w:rsidR="002C24FB" w:rsidRPr="004A5EAF" w:rsidRDefault="002C24FB" w:rsidP="004E2D41"/>
          <w:p w14:paraId="747592E0" w14:textId="77777777" w:rsidR="002C24FB" w:rsidRPr="004A5EAF" w:rsidRDefault="002C24FB" w:rsidP="004E2D41"/>
          <w:p w14:paraId="0DA2260E" w14:textId="77777777" w:rsidR="002C24FB" w:rsidRPr="004A5EAF" w:rsidRDefault="002C24FB" w:rsidP="004E2D41"/>
          <w:p w14:paraId="648D4A7A" w14:textId="77777777" w:rsidR="002C24FB" w:rsidRPr="004A5EAF" w:rsidRDefault="002C24FB" w:rsidP="004E2D41"/>
          <w:p w14:paraId="0F01F36C" w14:textId="77777777" w:rsidR="002C24FB" w:rsidRPr="004A5EAF" w:rsidRDefault="002C24FB" w:rsidP="004E2D41"/>
          <w:p w14:paraId="42BF6CB2" w14:textId="77777777" w:rsidR="002C24FB" w:rsidRPr="004A5EAF" w:rsidRDefault="002C24FB" w:rsidP="004E2D41"/>
          <w:p w14:paraId="268FB337" w14:textId="77777777" w:rsidR="002C24FB" w:rsidRPr="004A5EAF" w:rsidRDefault="002C24FB" w:rsidP="004E2D41"/>
          <w:p w14:paraId="7DCA1500" w14:textId="77777777" w:rsidR="002C24FB" w:rsidRPr="004A5EAF" w:rsidRDefault="002C24FB" w:rsidP="004E2D41"/>
          <w:p w14:paraId="7E018DBC" w14:textId="77777777" w:rsidR="002C24FB" w:rsidRPr="004A5EAF" w:rsidRDefault="002C24FB" w:rsidP="004E2D41"/>
          <w:p w14:paraId="5E943E4F" w14:textId="77777777" w:rsidR="002C24FB" w:rsidRPr="004A5EAF" w:rsidRDefault="002C24FB" w:rsidP="004E2D41"/>
          <w:p w14:paraId="169D18B1" w14:textId="77777777" w:rsidR="002C24FB" w:rsidRPr="004A5EAF" w:rsidRDefault="002C24FB" w:rsidP="004E2D41"/>
          <w:p w14:paraId="6FDBE65C" w14:textId="77777777" w:rsidR="002C24FB" w:rsidRPr="004A5EAF" w:rsidRDefault="002C24FB" w:rsidP="004E2D41"/>
          <w:p w14:paraId="2F741D31" w14:textId="77777777" w:rsidR="002C24FB" w:rsidRPr="004A5EAF" w:rsidRDefault="002C24FB" w:rsidP="004E2D41"/>
          <w:p w14:paraId="0B3BC675" w14:textId="77777777" w:rsidR="002C24FB" w:rsidRPr="004A5EAF" w:rsidRDefault="002C24FB" w:rsidP="004E2D41"/>
          <w:p w14:paraId="202EA6CC" w14:textId="77777777" w:rsidR="002C24FB" w:rsidRPr="004A5EAF" w:rsidRDefault="002C24FB" w:rsidP="004E2D41"/>
          <w:p w14:paraId="7613C9FB" w14:textId="77777777" w:rsidR="002C24FB" w:rsidRPr="004A5EAF" w:rsidRDefault="002C24FB" w:rsidP="004E2D41"/>
          <w:p w14:paraId="440E8BED" w14:textId="77777777" w:rsidR="002C24FB" w:rsidRPr="004A5EAF" w:rsidRDefault="002C24FB" w:rsidP="004E2D41"/>
          <w:p w14:paraId="1AFB7374" w14:textId="7D1AE16E" w:rsidR="002C24FB" w:rsidRPr="004A5EAF" w:rsidRDefault="002C24FB" w:rsidP="004E2D41"/>
          <w:p w14:paraId="0B472D1A" w14:textId="77777777" w:rsidR="00093DEF" w:rsidRPr="004A5EAF" w:rsidRDefault="00093DEF" w:rsidP="004E2D41">
            <w:pPr>
              <w:jc w:val="center"/>
            </w:pPr>
          </w:p>
        </w:tc>
        <w:tc>
          <w:tcPr>
            <w:tcW w:w="7091" w:type="dxa"/>
          </w:tcPr>
          <w:p w14:paraId="0B3F93C7" w14:textId="2A65C727" w:rsidR="00714391" w:rsidRPr="004A5EAF" w:rsidRDefault="004A5EAF" w:rsidP="004E2D41">
            <w:pPr>
              <w:pStyle w:val="naiskr"/>
              <w:spacing w:before="0" w:after="0"/>
              <w:jc w:val="both"/>
              <w:rPr>
                <w:bCs/>
              </w:rPr>
            </w:pPr>
            <w:r w:rsidRPr="004A5EAF">
              <w:tab/>
            </w:r>
            <w:r w:rsidR="002F14AD" w:rsidRPr="004A5EAF">
              <w:t>2019. gada 10. aprīlī stājās spēkā Ieroču aprites likums (turpmāk –</w:t>
            </w:r>
            <w:r w:rsidR="00213F1D" w:rsidRPr="004A5EAF">
              <w:t xml:space="preserve"> Likums), kas aizstāja Ieroču un speciālo līdzekļu aprites likumu.</w:t>
            </w:r>
            <w:r w:rsidR="00213F1D" w:rsidRPr="004A5EAF">
              <w:rPr>
                <w:bCs/>
              </w:rPr>
              <w:t xml:space="preserve"> </w:t>
            </w:r>
            <w:r w:rsidR="00093DEF" w:rsidRPr="004A5EAF">
              <w:rPr>
                <w:bCs/>
              </w:rPr>
              <w:t xml:space="preserve">Atbilstoši </w:t>
            </w:r>
            <w:r w:rsidR="004B722E" w:rsidRPr="004A5EAF">
              <w:rPr>
                <w:bCs/>
              </w:rPr>
              <w:t>L</w:t>
            </w:r>
            <w:r w:rsidR="00093DEF" w:rsidRPr="004A5EAF">
              <w:rPr>
                <w:bCs/>
              </w:rPr>
              <w:t xml:space="preserve">ikuma </w:t>
            </w:r>
            <w:r w:rsidR="00217D25" w:rsidRPr="004A5EAF">
              <w:rPr>
                <w:bCs/>
              </w:rPr>
              <w:t>p</w:t>
            </w:r>
            <w:r w:rsidR="00093DEF" w:rsidRPr="004A5EAF">
              <w:rPr>
                <w:bCs/>
              </w:rPr>
              <w:t>ārejas noteikumu 2.</w:t>
            </w:r>
            <w:r w:rsidR="004B722E" w:rsidRPr="004A5EAF">
              <w:rPr>
                <w:bCs/>
              </w:rPr>
              <w:t> </w:t>
            </w:r>
            <w:r w:rsidR="00093DEF" w:rsidRPr="004A5EAF">
              <w:rPr>
                <w:bCs/>
              </w:rPr>
              <w:t>punktam Ministru kabinet</w:t>
            </w:r>
            <w:r w:rsidR="00213F1D" w:rsidRPr="004A5EAF">
              <w:rPr>
                <w:bCs/>
              </w:rPr>
              <w:t>am ir jāizdod</w:t>
            </w:r>
            <w:r w:rsidR="00093DEF" w:rsidRPr="004A5EAF">
              <w:rPr>
                <w:bCs/>
              </w:rPr>
              <w:t xml:space="preserve"> Likuma 72. panta vienpadsmitajā daļā minēt</w:t>
            </w:r>
            <w:r w:rsidR="00213F1D" w:rsidRPr="004A5EAF">
              <w:rPr>
                <w:bCs/>
              </w:rPr>
              <w:t>ie</w:t>
            </w:r>
            <w:r w:rsidR="00093DEF" w:rsidRPr="004A5EAF">
              <w:rPr>
                <w:bCs/>
              </w:rPr>
              <w:t xml:space="preserve"> noteikum</w:t>
            </w:r>
            <w:r w:rsidR="00213F1D" w:rsidRPr="004A5EAF">
              <w:rPr>
                <w:bCs/>
              </w:rPr>
              <w:t xml:space="preserve">i, kas aizstās </w:t>
            </w:r>
            <w:r w:rsidR="00714391" w:rsidRPr="004A5EAF">
              <w:rPr>
                <w:bCs/>
              </w:rPr>
              <w:t xml:space="preserve">ar </w:t>
            </w:r>
            <w:r w:rsidR="00093DEF" w:rsidRPr="004A5EAF">
              <w:rPr>
                <w:bCs/>
              </w:rPr>
              <w:t>Ministru kabineta 2016.</w:t>
            </w:r>
            <w:r w:rsidR="00813F8D" w:rsidRPr="004A5EAF">
              <w:rPr>
                <w:bCs/>
              </w:rPr>
              <w:t> </w:t>
            </w:r>
            <w:r w:rsidR="00093DEF" w:rsidRPr="004A5EAF">
              <w:rPr>
                <w:bCs/>
              </w:rPr>
              <w:t>gada 2.</w:t>
            </w:r>
            <w:r w:rsidR="00813F8D" w:rsidRPr="004A5EAF">
              <w:rPr>
                <w:bCs/>
              </w:rPr>
              <w:t> </w:t>
            </w:r>
            <w:r w:rsidR="00093DEF" w:rsidRPr="004A5EAF">
              <w:rPr>
                <w:bCs/>
              </w:rPr>
              <w:t>aug</w:t>
            </w:r>
            <w:r w:rsidR="00213F1D" w:rsidRPr="004A5EAF">
              <w:rPr>
                <w:bCs/>
              </w:rPr>
              <w:t xml:space="preserve">usta </w:t>
            </w:r>
            <w:r w:rsidR="00714391" w:rsidRPr="004A5EAF">
              <w:rPr>
                <w:bCs/>
              </w:rPr>
              <w:t>noteikumiem</w:t>
            </w:r>
            <w:r w:rsidR="00093DEF" w:rsidRPr="004A5EAF">
              <w:rPr>
                <w:bCs/>
              </w:rPr>
              <w:t xml:space="preserve"> Nr. 502 </w:t>
            </w:r>
            <w:r w:rsidR="00813F8D" w:rsidRPr="004A5EAF">
              <w:rPr>
                <w:bCs/>
              </w:rPr>
              <w:t>“</w:t>
            </w:r>
            <w:r w:rsidR="00093DEF" w:rsidRPr="004A5EAF">
              <w:rPr>
                <w:bCs/>
              </w:rPr>
              <w:t>Šaušanas instruktoru sertificēšanas noteikumi</w:t>
            </w:r>
            <w:r w:rsidR="00813F8D" w:rsidRPr="004A5EAF">
              <w:rPr>
                <w:bCs/>
              </w:rPr>
              <w:t>”</w:t>
            </w:r>
            <w:r w:rsidR="00714391" w:rsidRPr="004A5EAF">
              <w:rPr>
                <w:bCs/>
              </w:rPr>
              <w:t xml:space="preserve"> noteikto regulējumu, kas zaudējis spēku 2020. gada 1. janvārī.</w:t>
            </w:r>
          </w:p>
          <w:p w14:paraId="51B4D1EC" w14:textId="05F69DE5" w:rsidR="009813D1" w:rsidRPr="004A5EAF" w:rsidRDefault="00714391" w:rsidP="004E2D41">
            <w:pPr>
              <w:pStyle w:val="naiskr"/>
              <w:spacing w:before="0" w:after="0"/>
              <w:jc w:val="both"/>
              <w:rPr>
                <w:bCs/>
              </w:rPr>
            </w:pPr>
            <w:r w:rsidRPr="004A5EAF">
              <w:rPr>
                <w:bCs/>
              </w:rPr>
              <w:tab/>
            </w:r>
            <w:r w:rsidR="00093DEF" w:rsidRPr="004A5EAF">
              <w:rPr>
                <w:bCs/>
              </w:rPr>
              <w:t xml:space="preserve">Atbilstoši </w:t>
            </w:r>
            <w:r w:rsidRPr="004A5EAF">
              <w:rPr>
                <w:bCs/>
              </w:rPr>
              <w:t>iepriekšējam regulējumam</w:t>
            </w:r>
            <w:r w:rsidR="00093DEF" w:rsidRPr="004A5EAF">
              <w:rPr>
                <w:bCs/>
              </w:rPr>
              <w:t xml:space="preserve"> šaušanas instruktorus</w:t>
            </w:r>
            <w:r w:rsidR="00C72CE0" w:rsidRPr="004A5EAF">
              <w:rPr>
                <w:bCs/>
              </w:rPr>
              <w:t xml:space="preserve"> (turpmāk – instruktors)</w:t>
            </w:r>
            <w:r w:rsidR="00093DEF" w:rsidRPr="004A5EAF">
              <w:rPr>
                <w:bCs/>
              </w:rPr>
              <w:t xml:space="preserve">, izņemot tos instruktorus, kas ir tādu valsts un pašvaldību iestāžu darbinieki, kurām tiesības iegādāties, glabāt un savā darbībā izmantot šaujamieročus piešķirtas saskaņā ar likumu, sertificēja biedrība “Latvijas Sporta federāciju padome” (turpmāk – LSFP). </w:t>
            </w:r>
            <w:r w:rsidRPr="004A5EAF">
              <w:rPr>
                <w:bCs/>
              </w:rPr>
              <w:t xml:space="preserve">Arī jaunais regulējums satur identisku regulējumu – </w:t>
            </w:r>
            <w:r w:rsidR="00093DEF" w:rsidRPr="004A5EAF">
              <w:rPr>
                <w:bCs/>
              </w:rPr>
              <w:t>Likuma 72.</w:t>
            </w:r>
            <w:r w:rsidR="004B722E" w:rsidRPr="004A5EAF">
              <w:rPr>
                <w:bCs/>
              </w:rPr>
              <w:t> </w:t>
            </w:r>
            <w:r w:rsidR="00093DEF" w:rsidRPr="004A5EAF">
              <w:rPr>
                <w:bCs/>
              </w:rPr>
              <w:t>panta pirm</w:t>
            </w:r>
            <w:r w:rsidRPr="004A5EAF">
              <w:rPr>
                <w:bCs/>
              </w:rPr>
              <w:t>ā</w:t>
            </w:r>
            <w:r w:rsidR="00093DEF" w:rsidRPr="004A5EAF">
              <w:rPr>
                <w:bCs/>
              </w:rPr>
              <w:t xml:space="preserve"> daļ</w:t>
            </w:r>
            <w:r w:rsidRPr="004A5EAF">
              <w:rPr>
                <w:bCs/>
              </w:rPr>
              <w:t>a</w:t>
            </w:r>
            <w:r w:rsidR="00093DEF" w:rsidRPr="004A5EAF">
              <w:rPr>
                <w:bCs/>
              </w:rPr>
              <w:t xml:space="preserve"> no</w:t>
            </w:r>
            <w:r w:rsidRPr="004A5EAF">
              <w:rPr>
                <w:bCs/>
              </w:rPr>
              <w:t>saka</w:t>
            </w:r>
            <w:r w:rsidR="00093DEF" w:rsidRPr="004A5EAF">
              <w:rPr>
                <w:bCs/>
              </w:rPr>
              <w:t xml:space="preserve">, ka instruktorus, izņemot tos instruktorus, kas ir tādu valsts un pašvaldību iestāžu darbinieki, kurām tiesības iegādāties, glabāt un savā darbībā izmantot šaujamieročus piešķirtas saskaņā ar likumu, sertificē LSFP. </w:t>
            </w:r>
            <w:r w:rsidRPr="004A5EAF">
              <w:rPr>
                <w:bCs/>
              </w:rPr>
              <w:t xml:space="preserve">Minētā norma arī nosaka, ka </w:t>
            </w:r>
            <w:r w:rsidR="00093DEF" w:rsidRPr="004A5EAF">
              <w:rPr>
                <w:bCs/>
              </w:rPr>
              <w:t xml:space="preserve">LSFP var izveidot komisiju, kura lemj par </w:t>
            </w:r>
            <w:r w:rsidR="000F61A9" w:rsidRPr="004A5EAF">
              <w:rPr>
                <w:bCs/>
              </w:rPr>
              <w:t xml:space="preserve">instruktora </w:t>
            </w:r>
            <w:r w:rsidR="00093DEF" w:rsidRPr="004A5EAF">
              <w:rPr>
                <w:bCs/>
              </w:rPr>
              <w:t xml:space="preserve">sertifikātu </w:t>
            </w:r>
            <w:r w:rsidR="000F61A9" w:rsidRPr="004A5EAF">
              <w:rPr>
                <w:bCs/>
              </w:rPr>
              <w:t xml:space="preserve">(turpmāk – </w:t>
            </w:r>
            <w:r w:rsidR="00CF5007" w:rsidRPr="004A5EAF">
              <w:rPr>
                <w:bCs/>
              </w:rPr>
              <w:t>s</w:t>
            </w:r>
            <w:r w:rsidR="000F61A9" w:rsidRPr="004A5EAF">
              <w:rPr>
                <w:bCs/>
              </w:rPr>
              <w:t xml:space="preserve">ertifikāts) </w:t>
            </w:r>
            <w:r w:rsidR="00093DEF" w:rsidRPr="004A5EAF">
              <w:rPr>
                <w:bCs/>
              </w:rPr>
              <w:t>izsniegšanu un anulēšanu. Likuma 72. panta trešā daļa paredz, ka instruktoru sertificē, ja uz viņu neattiecas kāds no Likuma 23. pantā minētajiem aizliegumiem (izņemot tā 14. un 15. punktā minētos aizliegumus). Pārbaudi par to, vai uz personu attiecas kāds no minētajiem aizl</w:t>
            </w:r>
            <w:r w:rsidRPr="004A5EAF">
              <w:rPr>
                <w:bCs/>
              </w:rPr>
              <w:t xml:space="preserve">iegumiem, veic Valsts policija. </w:t>
            </w:r>
            <w:r w:rsidR="00093DEF" w:rsidRPr="004A5EAF">
              <w:rPr>
                <w:bCs/>
              </w:rPr>
              <w:t>Likuma 72. panta</w:t>
            </w:r>
            <w:r w:rsidR="00093DEF" w:rsidRPr="004A5EAF" w:rsidDel="00343E6E">
              <w:rPr>
                <w:bCs/>
              </w:rPr>
              <w:t xml:space="preserve"> </w:t>
            </w:r>
            <w:r w:rsidR="00093DEF" w:rsidRPr="004A5EAF">
              <w:rPr>
                <w:bCs/>
              </w:rPr>
              <w:t xml:space="preserve">ceturtā un piektā daļa </w:t>
            </w:r>
            <w:r w:rsidR="00ED437F" w:rsidRPr="004A5EAF">
              <w:rPr>
                <w:bCs/>
              </w:rPr>
              <w:t>nosaka</w:t>
            </w:r>
            <w:r w:rsidR="00093DEF" w:rsidRPr="004A5EAF">
              <w:rPr>
                <w:bCs/>
              </w:rPr>
              <w:t xml:space="preserve">, ka </w:t>
            </w:r>
            <w:r w:rsidR="00CF5007" w:rsidRPr="004A5EAF">
              <w:rPr>
                <w:bCs/>
              </w:rPr>
              <w:t>s</w:t>
            </w:r>
            <w:r w:rsidR="00093DEF" w:rsidRPr="004A5EAF">
              <w:rPr>
                <w:bCs/>
              </w:rPr>
              <w:t>ertifikātu anulē, ja</w:t>
            </w:r>
            <w:r w:rsidR="00130EE1" w:rsidRPr="004A5EAF">
              <w:rPr>
                <w:bCs/>
              </w:rPr>
              <w:t xml:space="preserve"> (1) </w:t>
            </w:r>
            <w:r w:rsidR="00093DEF" w:rsidRPr="004A5EAF">
              <w:rPr>
                <w:bCs/>
              </w:rPr>
              <w:t>instruktors ir pārkāpis treniņšaušanas vai šaušanas sporta sacensību noteikumus vai drošības noteikumus šautuvē;</w:t>
            </w:r>
            <w:r w:rsidR="00130EE1" w:rsidRPr="004A5EAF">
              <w:rPr>
                <w:bCs/>
              </w:rPr>
              <w:t xml:space="preserve"> (2) </w:t>
            </w:r>
            <w:r w:rsidR="00093DEF" w:rsidRPr="004A5EAF">
              <w:rPr>
                <w:bCs/>
              </w:rPr>
              <w:t>attiecībā uz instruktoru ir konstatēts kāds no Likuma 23.</w:t>
            </w:r>
            <w:r w:rsidR="00ED437F" w:rsidRPr="004A5EAF">
              <w:rPr>
                <w:bCs/>
              </w:rPr>
              <w:t> </w:t>
            </w:r>
            <w:r w:rsidR="00093DEF" w:rsidRPr="004A5EAF">
              <w:rPr>
                <w:bCs/>
              </w:rPr>
              <w:t>pantā noteiktajiem aizliegumiem (izņemot 14. un 15. punktā minētos aizliegumus). Sertifikātu var anulēt</w:t>
            </w:r>
            <w:r w:rsidR="00130EE1" w:rsidRPr="004A5EAF">
              <w:rPr>
                <w:bCs/>
              </w:rPr>
              <w:t xml:space="preserve"> arī gadījumā</w:t>
            </w:r>
            <w:r w:rsidR="00093DEF" w:rsidRPr="004A5EAF">
              <w:rPr>
                <w:bCs/>
              </w:rPr>
              <w:t>, ja instruktors ir pārkāpis sporta nozari regulējošos normatīvos aktus</w:t>
            </w:r>
            <w:r w:rsidR="00130EE1" w:rsidRPr="004A5EAF">
              <w:rPr>
                <w:bCs/>
              </w:rPr>
              <w:t xml:space="preserve"> (Likuma 72. panta piektā daļa)</w:t>
            </w:r>
            <w:r w:rsidR="00093DEF" w:rsidRPr="004A5EAF">
              <w:rPr>
                <w:bCs/>
              </w:rPr>
              <w:t>.</w:t>
            </w:r>
            <w:r w:rsidRPr="004A5EAF">
              <w:rPr>
                <w:bCs/>
              </w:rPr>
              <w:t xml:space="preserve"> Savukārt </w:t>
            </w:r>
            <w:r w:rsidR="00093DEF" w:rsidRPr="004A5EAF">
              <w:rPr>
                <w:bCs/>
              </w:rPr>
              <w:t>Likuma 72. panta sestā daļ</w:t>
            </w:r>
            <w:r w:rsidR="00ED437F" w:rsidRPr="004A5EAF">
              <w:rPr>
                <w:bCs/>
              </w:rPr>
              <w:t>ā</w:t>
            </w:r>
            <w:r w:rsidRPr="004A5EAF">
              <w:rPr>
                <w:bCs/>
              </w:rPr>
              <w:t xml:space="preserve"> nosaka</w:t>
            </w:r>
            <w:r w:rsidR="00093DEF" w:rsidRPr="004A5EAF">
              <w:rPr>
                <w:bCs/>
              </w:rPr>
              <w:t>, ka LSFP</w:t>
            </w:r>
            <w:r w:rsidR="00ED437F" w:rsidRPr="004A5EAF">
              <w:rPr>
                <w:bCs/>
              </w:rPr>
              <w:t>,</w:t>
            </w:r>
            <w:r w:rsidR="00093DEF" w:rsidRPr="004A5EAF">
              <w:rPr>
                <w:bCs/>
              </w:rPr>
              <w:t xml:space="preserve"> pildot </w:t>
            </w:r>
            <w:r w:rsidR="00053FBD" w:rsidRPr="004A5EAF">
              <w:rPr>
                <w:bCs/>
              </w:rPr>
              <w:t xml:space="preserve">Likuma </w:t>
            </w:r>
            <w:r w:rsidR="00093DEF" w:rsidRPr="004A5EAF">
              <w:rPr>
                <w:bCs/>
              </w:rPr>
              <w:t xml:space="preserve">72. panta pirmajā, ceturtajā un piektajā daļā noteiktos uzdevumus, ir tiesīga izdot administratīvos aktus. Likuma 72. panta septītā daļa paredz, ka lēmumu par </w:t>
            </w:r>
            <w:r w:rsidR="00CF5007" w:rsidRPr="004A5EAF">
              <w:rPr>
                <w:bCs/>
              </w:rPr>
              <w:t>s</w:t>
            </w:r>
            <w:r w:rsidR="00093DEF" w:rsidRPr="004A5EAF">
              <w:rPr>
                <w:bCs/>
              </w:rPr>
              <w:t xml:space="preserve">ertifikāta izsniegšanu vai par atteikumu izsniegt šādu </w:t>
            </w:r>
            <w:r w:rsidR="00CF5007" w:rsidRPr="004A5EAF">
              <w:rPr>
                <w:bCs/>
              </w:rPr>
              <w:t>s</w:t>
            </w:r>
            <w:r w:rsidR="00093DEF" w:rsidRPr="004A5EAF">
              <w:rPr>
                <w:bCs/>
              </w:rPr>
              <w:t xml:space="preserve">ertifikātu pieņem triju mēnešu laikā no dienas, kad saņemts iesniegums par instruktora sertificēšanu. </w:t>
            </w:r>
            <w:r w:rsidR="00C34C53" w:rsidRPr="004A5EAF">
              <w:rPr>
                <w:bCs/>
              </w:rPr>
              <w:t xml:space="preserve">Saskaņā ar </w:t>
            </w:r>
            <w:r w:rsidR="00093DEF" w:rsidRPr="004A5EAF">
              <w:rPr>
                <w:bCs/>
              </w:rPr>
              <w:t>Likuma 72. panta astot</w:t>
            </w:r>
            <w:r w:rsidR="00C34C53" w:rsidRPr="004A5EAF">
              <w:rPr>
                <w:bCs/>
              </w:rPr>
              <w:t>o</w:t>
            </w:r>
            <w:r w:rsidR="00093DEF" w:rsidRPr="004A5EAF">
              <w:rPr>
                <w:bCs/>
              </w:rPr>
              <w:t xml:space="preserve"> daļ</w:t>
            </w:r>
            <w:r w:rsidR="00C34C53" w:rsidRPr="004A5EAF">
              <w:rPr>
                <w:bCs/>
              </w:rPr>
              <w:t>u</w:t>
            </w:r>
            <w:r w:rsidR="00093DEF" w:rsidRPr="004A5EAF">
              <w:rPr>
                <w:bCs/>
              </w:rPr>
              <w:t xml:space="preserve"> lēmumu par </w:t>
            </w:r>
            <w:r w:rsidR="00CF5007" w:rsidRPr="004A5EAF">
              <w:rPr>
                <w:bCs/>
              </w:rPr>
              <w:t>s</w:t>
            </w:r>
            <w:r w:rsidR="00093DEF" w:rsidRPr="004A5EAF">
              <w:rPr>
                <w:bCs/>
              </w:rPr>
              <w:t xml:space="preserve">ertifikāta izsniegšanu, par atteikumu izsniegt </w:t>
            </w:r>
            <w:r w:rsidR="00CF5007" w:rsidRPr="004A5EAF">
              <w:rPr>
                <w:bCs/>
              </w:rPr>
              <w:t>s</w:t>
            </w:r>
            <w:r w:rsidR="00093DEF" w:rsidRPr="004A5EAF">
              <w:rPr>
                <w:bCs/>
              </w:rPr>
              <w:t>ertifikātu vai par</w:t>
            </w:r>
            <w:r w:rsidR="00C72CE0" w:rsidRPr="004A5EAF">
              <w:rPr>
                <w:bCs/>
              </w:rPr>
              <w:t xml:space="preserve"> </w:t>
            </w:r>
            <w:r w:rsidR="00CF5007" w:rsidRPr="004A5EAF">
              <w:rPr>
                <w:bCs/>
              </w:rPr>
              <w:t>s</w:t>
            </w:r>
            <w:r w:rsidR="00093DEF" w:rsidRPr="004A5EAF">
              <w:rPr>
                <w:bCs/>
              </w:rPr>
              <w:t xml:space="preserve">ertifikāta anulēšanu var apstrīdēt Izglītības un zinātnes ministrijā. Izglītības un zinātnes ministrijas lēmumu var pārsūdzēt tiesā Administratīvā procesa likumā noteiktajā </w:t>
            </w:r>
            <w:r w:rsidR="00093DEF" w:rsidRPr="004A5EAF">
              <w:rPr>
                <w:bCs/>
              </w:rPr>
              <w:lastRenderedPageBreak/>
              <w:t xml:space="preserve">kārtībā. Likuma 72. panta devītā daļa arī paredz, ka lēmuma par </w:t>
            </w:r>
            <w:r w:rsidR="00093DEF" w:rsidRPr="004A5EAF">
              <w:t xml:space="preserve"> </w:t>
            </w:r>
            <w:r w:rsidR="00CF5007" w:rsidRPr="004A5EAF">
              <w:rPr>
                <w:bCs/>
              </w:rPr>
              <w:t>s</w:t>
            </w:r>
            <w:r w:rsidR="00093DEF" w:rsidRPr="004A5EAF">
              <w:rPr>
                <w:bCs/>
              </w:rPr>
              <w:t xml:space="preserve">ertifikāta izsniegšanu, par atteikumu izsniegt </w:t>
            </w:r>
            <w:r w:rsidR="00CF5007" w:rsidRPr="004A5EAF">
              <w:rPr>
                <w:bCs/>
              </w:rPr>
              <w:t>s</w:t>
            </w:r>
            <w:r w:rsidR="00093DEF" w:rsidRPr="004A5EAF">
              <w:rPr>
                <w:bCs/>
              </w:rPr>
              <w:t xml:space="preserve">ertifikātu vai par </w:t>
            </w:r>
            <w:r w:rsidR="00CF5007" w:rsidRPr="004A5EAF">
              <w:rPr>
                <w:bCs/>
              </w:rPr>
              <w:t>s</w:t>
            </w:r>
            <w:r w:rsidR="00093DEF" w:rsidRPr="004A5EAF">
              <w:rPr>
                <w:bCs/>
              </w:rPr>
              <w:t>ertifikāta anulēšanu apstrīdēšana un pārsūdzēšana neaptur tā darbību.  Likuma 72. panta desmitā  daļa arī paredz, ka z</w:t>
            </w:r>
            <w:r w:rsidR="00093DEF" w:rsidRPr="004A5EAF">
              <w:t xml:space="preserve">iņas par izsniegtajiem </w:t>
            </w:r>
            <w:r w:rsidR="00CF5007" w:rsidRPr="004A5EAF">
              <w:t>s</w:t>
            </w:r>
            <w:r w:rsidR="00093DEF" w:rsidRPr="004A5EAF">
              <w:t>ertifikātiem LSFP reģistrē L</w:t>
            </w:r>
            <w:r w:rsidR="009813D1" w:rsidRPr="004A5EAF">
              <w:t>icenču un sertifikātu reģistrā.</w:t>
            </w:r>
          </w:p>
          <w:p w14:paraId="5F07C589" w14:textId="77777777" w:rsidR="004A5EAF" w:rsidRDefault="004A5EAF" w:rsidP="004E2D41">
            <w:pPr>
              <w:pStyle w:val="naiskr"/>
              <w:spacing w:before="0" w:after="0"/>
              <w:jc w:val="both"/>
              <w:rPr>
                <w:bCs/>
              </w:rPr>
            </w:pPr>
            <w:r>
              <w:rPr>
                <w:bCs/>
              </w:rPr>
              <w:tab/>
            </w:r>
            <w:r w:rsidR="00093DEF" w:rsidRPr="004A5EAF">
              <w:rPr>
                <w:bCs/>
              </w:rPr>
              <w:t>Atbilstoši līdzšinējam regulējumam un Likuma 72.</w:t>
            </w:r>
            <w:r w:rsidR="00813F8D" w:rsidRPr="004A5EAF">
              <w:rPr>
                <w:bCs/>
              </w:rPr>
              <w:t> </w:t>
            </w:r>
            <w:r w:rsidR="00093DEF" w:rsidRPr="004A5EAF">
              <w:rPr>
                <w:bCs/>
              </w:rPr>
              <w:t xml:space="preserve">panta pirmajai daļai, arī </w:t>
            </w:r>
            <w:r w:rsidR="004B722E" w:rsidRPr="004A5EAF">
              <w:rPr>
                <w:bCs/>
              </w:rPr>
              <w:t>n</w:t>
            </w:r>
            <w:r w:rsidR="00093DEF" w:rsidRPr="004A5EAF">
              <w:rPr>
                <w:bCs/>
              </w:rPr>
              <w:t xml:space="preserve">oteikumu projektā paredzēts, ka LSFP vārdā lēmumu par </w:t>
            </w:r>
            <w:r w:rsidR="00CF5007" w:rsidRPr="004A5EAF">
              <w:rPr>
                <w:bCs/>
              </w:rPr>
              <w:t>s</w:t>
            </w:r>
            <w:r w:rsidR="00093DEF" w:rsidRPr="004A5EAF">
              <w:rPr>
                <w:bCs/>
              </w:rPr>
              <w:t>ertifi</w:t>
            </w:r>
            <w:r w:rsidR="00D052FE" w:rsidRPr="004A5EAF">
              <w:rPr>
                <w:bCs/>
              </w:rPr>
              <w:t>kāta izsniegšanu</w:t>
            </w:r>
            <w:r w:rsidR="00093DEF" w:rsidRPr="004A5EAF">
              <w:rPr>
                <w:bCs/>
              </w:rPr>
              <w:t xml:space="preserve">, atteikumu </w:t>
            </w:r>
            <w:r w:rsidR="004E2D41" w:rsidRPr="004A5EAF">
              <w:rPr>
                <w:bCs/>
              </w:rPr>
              <w:t>izsniegt s</w:t>
            </w:r>
            <w:r w:rsidR="00093DEF" w:rsidRPr="004A5EAF">
              <w:rPr>
                <w:bCs/>
              </w:rPr>
              <w:t>ertifi</w:t>
            </w:r>
            <w:r w:rsidR="00D052FE" w:rsidRPr="004A5EAF">
              <w:rPr>
                <w:bCs/>
              </w:rPr>
              <w:t>kātu</w:t>
            </w:r>
            <w:r w:rsidR="00093DEF" w:rsidRPr="004A5EAF">
              <w:rPr>
                <w:bCs/>
              </w:rPr>
              <w:t xml:space="preserve"> vai par</w:t>
            </w:r>
            <w:r w:rsidR="00CF5007" w:rsidRPr="004A5EAF">
              <w:rPr>
                <w:bCs/>
              </w:rPr>
              <w:t xml:space="preserve"> s</w:t>
            </w:r>
            <w:r w:rsidR="00093DEF" w:rsidRPr="004A5EAF">
              <w:rPr>
                <w:bCs/>
              </w:rPr>
              <w:t xml:space="preserve">ertifikāta anulēšanu </w:t>
            </w:r>
            <w:r w:rsidR="00D052FE" w:rsidRPr="004A5EAF">
              <w:rPr>
                <w:bCs/>
              </w:rPr>
              <w:t xml:space="preserve">LSFP vārdā </w:t>
            </w:r>
            <w:r w:rsidR="00093DEF" w:rsidRPr="004A5EAF">
              <w:rPr>
                <w:bCs/>
              </w:rPr>
              <w:t>pieņem LSFP izveidota instruktoru sertificēšanas komisija.</w:t>
            </w:r>
            <w:r w:rsidR="00093DEF" w:rsidRPr="004A5EAF">
              <w:t xml:space="preserve"> </w:t>
            </w:r>
            <w:r w:rsidR="00093DEF" w:rsidRPr="004A5EAF">
              <w:rPr>
                <w:bCs/>
              </w:rPr>
              <w:t xml:space="preserve"> </w:t>
            </w:r>
            <w:r w:rsidR="00C955E4" w:rsidRPr="004A5EAF">
              <w:rPr>
                <w:bCs/>
              </w:rPr>
              <w:t>Instruktoru sertificēšanas k</w:t>
            </w:r>
            <w:r w:rsidR="00093DEF" w:rsidRPr="004A5EAF">
              <w:rPr>
                <w:bCs/>
              </w:rPr>
              <w:t>omisijas izveide atbilst arī</w:t>
            </w:r>
            <w:r w:rsidR="00093DEF" w:rsidRPr="004A5EAF">
              <w:t xml:space="preserve"> </w:t>
            </w:r>
            <w:r w:rsidR="00093DEF" w:rsidRPr="004A5EAF">
              <w:rPr>
                <w:bCs/>
              </w:rPr>
              <w:t>Biedrību un nodibinājumu likuma 48.</w:t>
            </w:r>
            <w:r w:rsidR="00C72CE0" w:rsidRPr="004A5EAF">
              <w:rPr>
                <w:bCs/>
              </w:rPr>
              <w:t> </w:t>
            </w:r>
            <w:r w:rsidR="00093DEF" w:rsidRPr="004A5EAF">
              <w:rPr>
                <w:bCs/>
              </w:rPr>
              <w:t>pantā noteiktajam,</w:t>
            </w:r>
            <w:r w:rsidR="00212DC3" w:rsidRPr="004A5EAF">
              <w:rPr>
                <w:bCs/>
              </w:rPr>
              <w:t xml:space="preserve"> tas ir,</w:t>
            </w:r>
            <w:r w:rsidR="00093DEF" w:rsidRPr="004A5EAF">
              <w:rPr>
                <w:bCs/>
              </w:rPr>
              <w:t xml:space="preserve"> ka</w:t>
            </w:r>
            <w:r w:rsidR="00093DEF" w:rsidRPr="004A5EAF">
              <w:t xml:space="preserve"> biedrības s</w:t>
            </w:r>
            <w:r w:rsidR="00093DEF" w:rsidRPr="004A5EAF">
              <w:rPr>
                <w:bCs/>
              </w:rPr>
              <w:t>tatūtos var noteikt, ka papildus valdei izveidojama cita institūcija atsevišķu darbību veikšanai ar statūtos noteiktu iecelšanas (ievēlēšanas) kārtību un kompetenci. LSFP ir reģistrēta Biedrību un nodibinājumu reģistrā 20</w:t>
            </w:r>
            <w:r w:rsidR="002F14AD" w:rsidRPr="004A5EAF">
              <w:rPr>
                <w:bCs/>
              </w:rPr>
              <w:t>0</w:t>
            </w:r>
            <w:r w:rsidR="00093DEF" w:rsidRPr="004A5EAF">
              <w:rPr>
                <w:bCs/>
              </w:rPr>
              <w:t xml:space="preserve">4. gada </w:t>
            </w:r>
            <w:r w:rsidR="002F14AD" w:rsidRPr="004A5EAF">
              <w:rPr>
                <w:bCs/>
              </w:rPr>
              <w:t>22</w:t>
            </w:r>
            <w:r w:rsidR="00093DEF" w:rsidRPr="004A5EAF">
              <w:rPr>
                <w:bCs/>
              </w:rPr>
              <w:t xml:space="preserve">. </w:t>
            </w:r>
            <w:r w:rsidR="002F14AD" w:rsidRPr="004A5EAF">
              <w:rPr>
                <w:bCs/>
              </w:rPr>
              <w:t>oktobrī</w:t>
            </w:r>
            <w:r w:rsidR="00093DEF" w:rsidRPr="004A5EAF">
              <w:rPr>
                <w:bCs/>
              </w:rPr>
              <w:t xml:space="preserve"> ar Nr.</w:t>
            </w:r>
            <w:r w:rsidR="00813F8D" w:rsidRPr="004A5EAF">
              <w:rPr>
                <w:bCs/>
              </w:rPr>
              <w:t> </w:t>
            </w:r>
            <w:r w:rsidR="00093DEF" w:rsidRPr="004A5EAF">
              <w:rPr>
                <w:bCs/>
              </w:rPr>
              <w:t>40008022932</w:t>
            </w:r>
            <w:r w:rsidR="00C955E4" w:rsidRPr="004A5EAF">
              <w:rPr>
                <w:bCs/>
              </w:rPr>
              <w:t xml:space="preserve">. Atbilstoši Biedrību un nodibinājumu likumā noteiktajam, </w:t>
            </w:r>
            <w:r w:rsidR="00093DEF" w:rsidRPr="004A5EAF">
              <w:rPr>
                <w:bCs/>
              </w:rPr>
              <w:t xml:space="preserve">LSFP </w:t>
            </w:r>
            <w:r w:rsidR="00093DEF" w:rsidRPr="004A5EAF">
              <w:t>statūtu 12.</w:t>
            </w:r>
            <w:r w:rsidR="00813F8D" w:rsidRPr="004A5EAF">
              <w:t> </w:t>
            </w:r>
            <w:r w:rsidR="00093DEF" w:rsidRPr="004A5EAF">
              <w:t xml:space="preserve">punktā </w:t>
            </w:r>
            <w:r w:rsidR="00093DEF" w:rsidRPr="004A5EAF">
              <w:rPr>
                <w:bCs/>
              </w:rPr>
              <w:t>“</w:t>
            </w:r>
            <w:r w:rsidR="00093DEF" w:rsidRPr="004A5EAF">
              <w:t xml:space="preserve">LSFP Darba komisijas” ir noteikts, ka </w:t>
            </w:r>
            <w:r w:rsidR="00AF1082" w:rsidRPr="004A5EAF">
              <w:t>savas darbības nodrošināšanai LSFP valde var izveidot</w:t>
            </w:r>
            <w:r w:rsidR="00731BCA" w:rsidRPr="004A5EAF">
              <w:t xml:space="preserve"> darba komisijas, kas darbojas LSFP valdes uzdoto uzdevumu ietvaros.</w:t>
            </w:r>
            <w:r w:rsidR="00093DEF" w:rsidRPr="004A5EAF">
              <w:t xml:space="preserve"> </w:t>
            </w:r>
            <w:r w:rsidR="00731BCA" w:rsidRPr="004A5EAF">
              <w:t>D</w:t>
            </w:r>
            <w:r w:rsidR="00093DEF" w:rsidRPr="004A5EAF">
              <w:t>arba komisija</w:t>
            </w:r>
            <w:r w:rsidR="00AF1082" w:rsidRPr="004A5EAF">
              <w:t>s</w:t>
            </w:r>
            <w:r w:rsidR="00731BCA" w:rsidRPr="004A5EAF">
              <w:t xml:space="preserve"> ir arī komisijas</w:t>
            </w:r>
            <w:r w:rsidR="00093DEF" w:rsidRPr="004A5EAF">
              <w:t>, kur</w:t>
            </w:r>
            <w:r w:rsidR="00731BCA" w:rsidRPr="004A5EAF">
              <w:t>u</w:t>
            </w:r>
            <w:r w:rsidR="00093DEF" w:rsidRPr="004A5EAF">
              <w:t xml:space="preserve"> izveidi nosaka normatīvie akti un kura</w:t>
            </w:r>
            <w:r w:rsidR="00731BCA" w:rsidRPr="004A5EAF">
              <w:t>s</w:t>
            </w:r>
            <w:r w:rsidR="00093DEF" w:rsidRPr="004A5EAF">
              <w:t xml:space="preserve"> savu darbību veic saskaņā ar attiecīgos normatīvajos aktos noteikto kārtību. </w:t>
            </w:r>
            <w:bookmarkStart w:id="2" w:name="p49"/>
            <w:bookmarkStart w:id="3" w:name="p-21388"/>
            <w:bookmarkEnd w:id="2"/>
            <w:bookmarkEnd w:id="3"/>
            <w:r w:rsidR="00C955E4" w:rsidRPr="004A5EAF">
              <w:t>LSFP valde apstiprina darba komisiju</w:t>
            </w:r>
            <w:r w:rsidR="00212DC3" w:rsidRPr="004A5EAF">
              <w:t xml:space="preserve"> nolikumus,</w:t>
            </w:r>
            <w:r w:rsidR="00C955E4" w:rsidRPr="004A5EAF">
              <w:t xml:space="preserve"> to vadītājus un komisiju vārdisko sastāvu. </w:t>
            </w:r>
            <w:r w:rsidR="00212DC3" w:rsidRPr="004A5EAF">
              <w:t xml:space="preserve">Iespēju izveidot </w:t>
            </w:r>
            <w:r w:rsidR="00C955E4" w:rsidRPr="004A5EAF">
              <w:t>Instruktoru sertific</w:t>
            </w:r>
            <w:r w:rsidR="00212DC3" w:rsidRPr="004A5EAF">
              <w:t>ēšanas komisiju</w:t>
            </w:r>
            <w:r w:rsidR="00C955E4" w:rsidRPr="004A5EAF">
              <w:t xml:space="preserve"> (tur</w:t>
            </w:r>
            <w:r w:rsidR="00212DC3" w:rsidRPr="004A5EAF">
              <w:t>pmāk – komisija) paredz</w:t>
            </w:r>
            <w:r w:rsidR="00C955E4" w:rsidRPr="004A5EAF">
              <w:t xml:space="preserve"> </w:t>
            </w:r>
            <w:r w:rsidR="000236BD" w:rsidRPr="004A5EAF">
              <w:t>ārējais normatīvais akts (Likums)</w:t>
            </w:r>
            <w:r w:rsidR="00C955E4" w:rsidRPr="004A5EAF">
              <w:t xml:space="preserve">. </w:t>
            </w:r>
            <w:r w:rsidR="00093DEF" w:rsidRPr="004A5EAF">
              <w:t>Tāpat k</w:t>
            </w:r>
            <w:r w:rsidR="00093DEF" w:rsidRPr="004A5EAF">
              <w:rPr>
                <w:bCs/>
              </w:rPr>
              <w:t xml:space="preserve">omisijas izveide ir pamatota ar nepieciešamību sertificēšanas procesā iesaistīt ne tikai LSFP valdes </w:t>
            </w:r>
            <w:r w:rsidR="001C5282" w:rsidRPr="004A5EAF">
              <w:rPr>
                <w:bCs/>
              </w:rPr>
              <w:t xml:space="preserve">deleģētus </w:t>
            </w:r>
            <w:r w:rsidR="00093DEF" w:rsidRPr="004A5EAF">
              <w:rPr>
                <w:bCs/>
              </w:rPr>
              <w:t xml:space="preserve">pārstāvjus, bet arī pārstāvjus no </w:t>
            </w:r>
            <w:r w:rsidR="001C5282" w:rsidRPr="004A5EAF">
              <w:rPr>
                <w:bCs/>
              </w:rPr>
              <w:t xml:space="preserve">Izglītības un zinātnes </w:t>
            </w:r>
            <w:r w:rsidR="00093DEF" w:rsidRPr="004A5EAF">
              <w:rPr>
                <w:bCs/>
              </w:rPr>
              <w:t>ministrijas, biedrības “Latvijas Šaušanas federācija”</w:t>
            </w:r>
            <w:r w:rsidR="009B21D6" w:rsidRPr="004A5EAF">
              <w:rPr>
                <w:bCs/>
              </w:rPr>
              <w:t xml:space="preserve"> (turpmāk – Šaušanas federācija)</w:t>
            </w:r>
            <w:r w:rsidR="00093DEF" w:rsidRPr="004A5EAF">
              <w:rPr>
                <w:bCs/>
              </w:rPr>
              <w:t>, mednieku organizācijas, kurā ir vismaz 500 biedru</w:t>
            </w:r>
            <w:r w:rsidR="009B21D6" w:rsidRPr="004A5EAF">
              <w:rPr>
                <w:bCs/>
              </w:rPr>
              <w:t>,</w:t>
            </w:r>
            <w:r w:rsidR="00093DEF" w:rsidRPr="004A5EAF">
              <w:rPr>
                <w:bCs/>
              </w:rPr>
              <w:t xml:space="preserve"> un Valsts policijas, </w:t>
            </w:r>
            <w:r w:rsidR="001C5282" w:rsidRPr="004A5EAF">
              <w:rPr>
                <w:bCs/>
              </w:rPr>
              <w:t>tādējādi</w:t>
            </w:r>
            <w:r w:rsidR="00093DEF" w:rsidRPr="004A5EAF">
              <w:rPr>
                <w:bCs/>
              </w:rPr>
              <w:t xml:space="preserve"> sniedz</w:t>
            </w:r>
            <w:r w:rsidR="001C5282" w:rsidRPr="004A5EAF">
              <w:rPr>
                <w:bCs/>
              </w:rPr>
              <w:t>ot</w:t>
            </w:r>
            <w:r w:rsidR="00093DEF" w:rsidRPr="004A5EAF">
              <w:rPr>
                <w:bCs/>
              </w:rPr>
              <w:t xml:space="preserve"> iespēju piesaistīt </w:t>
            </w:r>
            <w:r w:rsidR="001C5282" w:rsidRPr="004A5EAF">
              <w:rPr>
                <w:bCs/>
              </w:rPr>
              <w:t>sertific</w:t>
            </w:r>
            <w:r w:rsidR="00093DEF" w:rsidRPr="004A5EAF">
              <w:rPr>
                <w:bCs/>
              </w:rPr>
              <w:t>ēšanas procesā nozares speciālistus.</w:t>
            </w:r>
            <w:r w:rsidR="00093DEF" w:rsidRPr="004A5EAF">
              <w:t xml:space="preserve"> Noteikum</w:t>
            </w:r>
            <w:r w:rsidR="00093DEF" w:rsidRPr="004A5EAF">
              <w:rPr>
                <w:bCs/>
              </w:rPr>
              <w:t xml:space="preserve">u projektā ir noteiktas komisijas tiesības un pienākumi attiecībā uz instruktoru sertificēšanu, sertificēšanas kārtību un kritērijiem, kuriem jāatbilst personai,  kas vēlas saņemt </w:t>
            </w:r>
            <w:r w:rsidR="004E2D41" w:rsidRPr="004A5EAF">
              <w:rPr>
                <w:bCs/>
              </w:rPr>
              <w:t>s</w:t>
            </w:r>
            <w:r w:rsidR="00093DEF" w:rsidRPr="004A5EAF">
              <w:rPr>
                <w:bCs/>
              </w:rPr>
              <w:t>ertifikāt</w:t>
            </w:r>
            <w:r w:rsidR="009813D1" w:rsidRPr="004A5EAF">
              <w:rPr>
                <w:bCs/>
              </w:rPr>
              <w:t>u.</w:t>
            </w:r>
          </w:p>
          <w:p w14:paraId="3BE1815D" w14:textId="40D8C976" w:rsidR="009813D1" w:rsidRPr="004A5EAF" w:rsidRDefault="004A5EAF" w:rsidP="004E2D41">
            <w:pPr>
              <w:pStyle w:val="naiskr"/>
              <w:spacing w:before="0" w:after="0"/>
              <w:jc w:val="both"/>
              <w:rPr>
                <w:bCs/>
              </w:rPr>
            </w:pPr>
            <w:r>
              <w:rPr>
                <w:bCs/>
              </w:rPr>
              <w:tab/>
            </w:r>
            <w:r w:rsidR="00093DEF" w:rsidRPr="004A5EAF">
              <w:rPr>
                <w:bCs/>
              </w:rPr>
              <w:t>Saskaņā ar Sporta likuma 10. panta ceturto daļu atzītajām sporta federācijām ir piešķirtas (deleģētas) tiesības vadīt un koordinēt darbu attiecīgajā sporta veidā (attiecīgajos sporta veidos) vai darbības jomā valstī, kā arī pārstāvēt valsti attiecīgajā starptautiskajā sporta organizācijā. Šaušanas sporta veidā Šaušanas federācija ir atzīta sporta federācija (atzīta 2010. gada 11. augustā, atzīšanas apliecība Nr.</w:t>
            </w:r>
            <w:r w:rsidR="00813F8D" w:rsidRPr="004A5EAF">
              <w:rPr>
                <w:bCs/>
              </w:rPr>
              <w:t> </w:t>
            </w:r>
            <w:r w:rsidR="00093DEF" w:rsidRPr="004A5EAF">
              <w:rPr>
                <w:bCs/>
              </w:rPr>
              <w:t xml:space="preserve">4), piešķirot tai tiesības vadīt un koordinēt </w:t>
            </w:r>
            <w:r w:rsidR="0049145E" w:rsidRPr="004A5EAF">
              <w:rPr>
                <w:bCs/>
              </w:rPr>
              <w:t xml:space="preserve">darbu </w:t>
            </w:r>
            <w:r w:rsidR="00093DEF" w:rsidRPr="004A5EAF">
              <w:rPr>
                <w:bCs/>
              </w:rPr>
              <w:t>šaušanas sporta veid</w:t>
            </w:r>
            <w:r w:rsidR="0049145E" w:rsidRPr="004A5EAF">
              <w:rPr>
                <w:bCs/>
              </w:rPr>
              <w:t>ā</w:t>
            </w:r>
            <w:r w:rsidR="00093DEF" w:rsidRPr="004A5EAF">
              <w:rPr>
                <w:bCs/>
              </w:rPr>
              <w:t xml:space="preserve"> un pārstāvēt valsti Starptautiskajā Šaušanas federācijā (</w:t>
            </w:r>
            <w:r w:rsidR="00093DEF" w:rsidRPr="004A5EAF">
              <w:rPr>
                <w:bCs/>
                <w:i/>
              </w:rPr>
              <w:t xml:space="preserve">International </w:t>
            </w:r>
            <w:proofErr w:type="spellStart"/>
            <w:r w:rsidR="00093DEF" w:rsidRPr="004A5EAF">
              <w:rPr>
                <w:bCs/>
                <w:i/>
              </w:rPr>
              <w:t>Shooting</w:t>
            </w:r>
            <w:proofErr w:type="spellEnd"/>
            <w:r w:rsidR="00093DEF" w:rsidRPr="004A5EAF">
              <w:rPr>
                <w:bCs/>
                <w:i/>
              </w:rPr>
              <w:t xml:space="preserve"> Sport Federation</w:t>
            </w:r>
            <w:r w:rsidR="00093DEF" w:rsidRPr="004A5EAF">
              <w:rPr>
                <w:bCs/>
              </w:rPr>
              <w:t xml:space="preserve"> –</w:t>
            </w:r>
            <w:r w:rsidR="009813D1" w:rsidRPr="004A5EAF">
              <w:rPr>
                <w:bCs/>
              </w:rPr>
              <w:t xml:space="preserve"> ISSF).</w:t>
            </w:r>
          </w:p>
          <w:p w14:paraId="552C9A56" w14:textId="6CCA9640" w:rsidR="009813D1" w:rsidRPr="004A5EAF" w:rsidRDefault="004A5EAF" w:rsidP="004E2D41">
            <w:pPr>
              <w:pStyle w:val="naiskr"/>
              <w:spacing w:before="0" w:after="0"/>
              <w:jc w:val="both"/>
            </w:pPr>
            <w:r>
              <w:tab/>
            </w:r>
            <w:r w:rsidR="00093DEF" w:rsidRPr="004A5EAF">
              <w:t xml:space="preserve">Tikai pēc Valsts policijas pārbaudes atzinuma saņemšanas, ka uz pretendentu neattiecas </w:t>
            </w:r>
            <w:r w:rsidR="0049145E" w:rsidRPr="004A5EAF">
              <w:t xml:space="preserve">Ieroču aprites </w:t>
            </w:r>
            <w:r w:rsidR="00093DEF" w:rsidRPr="004A5EAF">
              <w:t>likumā noteiktie aizliegumi, komisija organizē profesionālo iemaņu pārbaudi (turpmāk – sertifikācijas eksāmens) pretendentiem, kuriem atbilstoši noteikumu projektā noteiktajām prasībām tas ir jākārto. Noteikumu projekts paredz gadījumus, kad sertifikācijas eksāmens nav jākārto:</w:t>
            </w:r>
          </w:p>
          <w:p w14:paraId="4E74585F" w14:textId="77777777" w:rsidR="004A5EAF" w:rsidRDefault="004A5EAF" w:rsidP="004E2D41">
            <w:pPr>
              <w:pStyle w:val="naiskr"/>
              <w:spacing w:before="0" w:after="0"/>
              <w:jc w:val="both"/>
            </w:pPr>
            <w:r>
              <w:tab/>
            </w:r>
            <w:r w:rsidR="009813D1" w:rsidRPr="004A5EAF">
              <w:t xml:space="preserve">(1) </w:t>
            </w:r>
            <w:r w:rsidR="00093DEF" w:rsidRPr="004A5EAF">
              <w:t>sporta speciālistam, kurš Ministru kabineta 2010.</w:t>
            </w:r>
            <w:r w:rsidR="00813F8D" w:rsidRPr="004A5EAF">
              <w:t> </w:t>
            </w:r>
            <w:r w:rsidR="00093DEF" w:rsidRPr="004A5EAF">
              <w:t>gada 26.</w:t>
            </w:r>
            <w:r w:rsidR="00813F8D" w:rsidRPr="004A5EAF">
              <w:t> </w:t>
            </w:r>
            <w:r w:rsidR="00093DEF" w:rsidRPr="004A5EAF">
              <w:t>janvāra noteikumos Nr.</w:t>
            </w:r>
            <w:r w:rsidR="00813F8D" w:rsidRPr="004A5EAF">
              <w:t> </w:t>
            </w:r>
            <w:r w:rsidR="00093DEF" w:rsidRPr="004A5EAF">
              <w:t>77 “Noteikumi par sporta speciālistu sertifikācijas kārtību un sporta speciālistam noteiktajām prasībām” noteikt</w:t>
            </w:r>
            <w:r w:rsidR="00053FBD" w:rsidRPr="004A5EAF">
              <w:t>aj</w:t>
            </w:r>
            <w:r w:rsidR="00093DEF" w:rsidRPr="004A5EAF">
              <w:t xml:space="preserve">ā kārtībā ir ieguvis sporta speciālista sertifikātu </w:t>
            </w:r>
            <w:r w:rsidR="0049145E" w:rsidRPr="004A5EAF">
              <w:t xml:space="preserve">ar </w:t>
            </w:r>
            <w:r w:rsidR="00093DEF" w:rsidRPr="004A5EAF">
              <w:t>šaušan</w:t>
            </w:r>
            <w:r w:rsidR="0049145E" w:rsidRPr="004A5EAF">
              <w:t>u</w:t>
            </w:r>
            <w:r w:rsidR="00093DEF" w:rsidRPr="004A5EAF">
              <w:t xml:space="preserve"> </w:t>
            </w:r>
            <w:r w:rsidR="0049145E" w:rsidRPr="004A5EAF">
              <w:t xml:space="preserve">saistītā </w:t>
            </w:r>
            <w:r w:rsidR="00093DEF" w:rsidRPr="004A5EAF">
              <w:t xml:space="preserve">sporta </w:t>
            </w:r>
            <w:r w:rsidR="0049145E" w:rsidRPr="004A5EAF">
              <w:t>veidā</w:t>
            </w:r>
            <w:r w:rsidR="00093DEF" w:rsidRPr="004A5EAF">
              <w:t>;</w:t>
            </w:r>
          </w:p>
          <w:p w14:paraId="792BAA6D" w14:textId="229CE0CE" w:rsidR="009813D1" w:rsidRPr="004A5EAF" w:rsidRDefault="004A5EAF" w:rsidP="004E2D41">
            <w:pPr>
              <w:pStyle w:val="naiskr"/>
              <w:spacing w:before="0" w:after="0"/>
              <w:jc w:val="both"/>
            </w:pPr>
            <w:r>
              <w:lastRenderedPageBreak/>
              <w:tab/>
            </w:r>
            <w:r w:rsidR="009813D1" w:rsidRPr="004A5EAF">
              <w:t xml:space="preserve">(2) </w:t>
            </w:r>
            <w:r w:rsidR="00093DEF" w:rsidRPr="004A5EAF">
              <w:t>pretendentam, kurš ir ieguvis sporta meistara kvalifikāciju vai tai pielīdzinātu kvalifikāciju ar šaušanu saistītā sporta veidā, un to apliecina Sporta likumā noteikt</w:t>
            </w:r>
            <w:r w:rsidR="0049145E" w:rsidRPr="004A5EAF">
              <w:t>aj</w:t>
            </w:r>
            <w:r w:rsidR="00093DEF" w:rsidRPr="004A5EAF">
              <w:t xml:space="preserve">ā kārtībā </w:t>
            </w:r>
            <w:r w:rsidR="0049145E" w:rsidRPr="004A5EAF">
              <w:t xml:space="preserve">atzītas ar </w:t>
            </w:r>
            <w:r w:rsidR="00093DEF" w:rsidRPr="004A5EAF">
              <w:t>šaušanas sporta veid</w:t>
            </w:r>
            <w:r w:rsidR="0049145E" w:rsidRPr="004A5EAF">
              <w:t>u</w:t>
            </w:r>
            <w:r w:rsidR="00093DEF" w:rsidRPr="004A5EAF">
              <w:t xml:space="preserve"> </w:t>
            </w:r>
            <w:r w:rsidR="0049145E" w:rsidRPr="004A5EAF">
              <w:t>saistītas</w:t>
            </w:r>
            <w:r w:rsidR="00093DEF" w:rsidRPr="004A5EAF">
              <w:t xml:space="preserve"> sporta federācijas </w:t>
            </w:r>
            <w:r w:rsidR="0049145E" w:rsidRPr="004A5EAF">
              <w:t>izsniegta izziņa</w:t>
            </w:r>
            <w:r w:rsidR="00093DEF" w:rsidRPr="004A5EAF">
              <w:t xml:space="preserve"> (</w:t>
            </w:r>
            <w:bookmarkStart w:id="4" w:name="_Hlk55478364"/>
            <w:r w:rsidR="00093DEF" w:rsidRPr="004A5EAF">
              <w:t>t.i.</w:t>
            </w:r>
            <w:r w:rsidR="00813F8D" w:rsidRPr="004A5EAF">
              <w:t>,</w:t>
            </w:r>
            <w:r w:rsidR="00093DEF" w:rsidRPr="004A5EAF">
              <w:t xml:space="preserve"> personas, kuras parādījušas augsta līmeņa sportiskos sasniegumus ar šaušanu saistītos sporta veidos</w:t>
            </w:r>
            <w:bookmarkEnd w:id="4"/>
            <w:r w:rsidR="00093DEF" w:rsidRPr="004A5EAF">
              <w:t>).</w:t>
            </w:r>
          </w:p>
          <w:p w14:paraId="21BCDA64" w14:textId="12B6FB1F" w:rsidR="00F40100" w:rsidRPr="004A5EAF" w:rsidRDefault="004A5EAF" w:rsidP="00F40100">
            <w:pPr>
              <w:pStyle w:val="naiskr"/>
              <w:spacing w:before="0" w:after="0"/>
              <w:jc w:val="both"/>
            </w:pPr>
            <w:r>
              <w:tab/>
            </w:r>
            <w:r w:rsidR="00093DEF" w:rsidRPr="004A5EAF">
              <w:t>Pretendējot uz atkārtot</w:t>
            </w:r>
            <w:r w:rsidR="009B3733" w:rsidRPr="004A5EAF">
              <w:t>a</w:t>
            </w:r>
            <w:r w:rsidR="00093DEF" w:rsidRPr="004A5EAF">
              <w:t xml:space="preserve"> </w:t>
            </w:r>
            <w:r w:rsidR="004E2D41" w:rsidRPr="004A5EAF">
              <w:t>s</w:t>
            </w:r>
            <w:r w:rsidR="00093DEF" w:rsidRPr="004A5EAF">
              <w:t>ertifikāt</w:t>
            </w:r>
            <w:r w:rsidR="009B3733" w:rsidRPr="004A5EAF">
              <w:t>a izsniegšanu</w:t>
            </w:r>
            <w:r w:rsidR="00093DEF" w:rsidRPr="004A5EAF">
              <w:t xml:space="preserve">, sertifikācijas eksāmens nav jākārto pretendentiem, kuri atbilst </w:t>
            </w:r>
            <w:r w:rsidR="00AB428E" w:rsidRPr="004A5EAF">
              <w:t>N</w:t>
            </w:r>
            <w:r w:rsidR="00093DEF" w:rsidRPr="004A5EAF">
              <w:t>oteikum</w:t>
            </w:r>
            <w:r w:rsidR="003014A4" w:rsidRPr="004A5EAF">
              <w:t>u projektā</w:t>
            </w:r>
            <w:r w:rsidR="00093DEF" w:rsidRPr="004A5EAF">
              <w:t xml:space="preserve"> </w:t>
            </w:r>
            <w:r w:rsidR="00F40100" w:rsidRPr="004A5EAF">
              <w:t xml:space="preserve">9.1.punktā un 9.2.punktā </w:t>
            </w:r>
            <w:r w:rsidR="00093DEF" w:rsidRPr="004A5EAF">
              <w:t>minētajiem kritērijiem</w:t>
            </w:r>
            <w:r w:rsidR="00F40100" w:rsidRPr="004A5EAF">
              <w:t xml:space="preserve">. Izņēmuma gadījumi </w:t>
            </w:r>
            <w:r w:rsidR="00667EF4" w:rsidRPr="004A5EAF">
              <w:t xml:space="preserve">pamatoti </w:t>
            </w:r>
            <w:r w:rsidR="00F40100" w:rsidRPr="004A5EAF">
              <w:t xml:space="preserve">ar pretendenta atbilstību </w:t>
            </w:r>
            <w:r w:rsidR="00F40100" w:rsidRPr="004A5EAF">
              <w:rPr>
                <w:bCs/>
              </w:rPr>
              <w:t>šaušanas sporta veida specifiskajām prasībām</w:t>
            </w:r>
            <w:r w:rsidR="00F40100" w:rsidRPr="004A5EAF">
              <w:t xml:space="preserve"> un profe</w:t>
            </w:r>
            <w:r w:rsidRPr="004A5EAF">
              <w:t>sionālajai kvalifikācijai, t.i.:</w:t>
            </w:r>
          </w:p>
          <w:p w14:paraId="434B09F0" w14:textId="61D4D5F7" w:rsidR="00F40100" w:rsidRPr="004A5EAF" w:rsidRDefault="004A5EAF" w:rsidP="00F40100">
            <w:pPr>
              <w:shd w:val="clear" w:color="auto" w:fill="FFFFFF"/>
              <w:jc w:val="both"/>
            </w:pPr>
            <w:r w:rsidRPr="004A5EAF">
              <w:tab/>
            </w:r>
            <w:r w:rsidR="00F40100" w:rsidRPr="004A5EAF">
              <w:t>9.1.punkta kritērijs - ar šaušanu saistītā sporta veida sporta speciālists</w:t>
            </w:r>
            <w:r w:rsidR="00DF48B9" w:rsidRPr="004A5EAF">
              <w:t xml:space="preserve"> (pārbaudāms LSFP sporta speciālistu reģistr</w:t>
            </w:r>
            <w:r w:rsidR="007064BC" w:rsidRPr="004A5EAF">
              <w:t>ā</w:t>
            </w:r>
            <w:r w:rsidR="00DF48B9" w:rsidRPr="004A5EAF">
              <w:t>)</w:t>
            </w:r>
            <w:r w:rsidR="00F40100" w:rsidRPr="004A5EAF">
              <w:t xml:space="preserve"> vai iegūta sporta meistara vai tai pielīdzināta kvalifikācija ar šaušanu saistītā sporta veidā</w:t>
            </w:r>
            <w:r w:rsidR="00DF48B9" w:rsidRPr="004A5EAF">
              <w:t xml:space="preserve"> (sporta federācijas izsniegta izziņa</w:t>
            </w:r>
            <w:r w:rsidR="007064BC" w:rsidRPr="004A5EAF">
              <w:t>)</w:t>
            </w:r>
            <w:r w:rsidR="00F40100" w:rsidRPr="004A5EAF">
              <w:t>.</w:t>
            </w:r>
          </w:p>
          <w:p w14:paraId="1B361B79" w14:textId="3D214936" w:rsidR="009813D1" w:rsidRPr="004A5EAF" w:rsidRDefault="004A5EAF" w:rsidP="00DF48B9">
            <w:pPr>
              <w:shd w:val="clear" w:color="auto" w:fill="FFFFFF"/>
              <w:jc w:val="both"/>
            </w:pPr>
            <w:r w:rsidRPr="004A5EAF">
              <w:tab/>
            </w:r>
            <w:r w:rsidR="00F40100" w:rsidRPr="004A5EAF">
              <w:t xml:space="preserve">9.2.punkta kritērijs </w:t>
            </w:r>
            <w:r w:rsidRPr="004A5EAF">
              <w:t>–</w:t>
            </w:r>
            <w:r w:rsidR="00F40100" w:rsidRPr="004A5EAF">
              <w:t xml:space="preserve"> vismaz divus gadus darbojies kā sertificēts šaušanas instruktors, piedaloties treniņšaušanas nodarbībās un sporta federācijas organizēt</w:t>
            </w:r>
            <w:r w:rsidR="007064BC" w:rsidRPr="004A5EAF">
              <w:t>aj</w:t>
            </w:r>
            <w:r w:rsidR="00F40100" w:rsidRPr="004A5EAF">
              <w:t>ās sacensībās (L</w:t>
            </w:r>
            <w:r w:rsidR="00093DEF" w:rsidRPr="004A5EAF">
              <w:t>ikuma 71.pant</w:t>
            </w:r>
            <w:r w:rsidR="00F40100" w:rsidRPr="004A5EAF">
              <w:t xml:space="preserve">s </w:t>
            </w:r>
            <w:r w:rsidR="00DF48B9" w:rsidRPr="004A5EAF">
              <w:t xml:space="preserve">nosaka arī kārtību, kādā Latvijā notiek </w:t>
            </w:r>
            <w:proofErr w:type="spellStart"/>
            <w:r w:rsidR="00DF48B9" w:rsidRPr="004A5EAF">
              <w:t>treniņšaušana</w:t>
            </w:r>
            <w:proofErr w:type="spellEnd"/>
            <w:r w:rsidR="00DF48B9" w:rsidRPr="004A5EAF">
              <w:t xml:space="preserve"> un šaušanas sporta sacensības)</w:t>
            </w:r>
            <w:r w:rsidR="00093DEF" w:rsidRPr="004A5EAF">
              <w:t>, ko apliecina Sporta likumā noteikt</w:t>
            </w:r>
            <w:r w:rsidR="00F244D3" w:rsidRPr="004A5EAF">
              <w:t>aj</w:t>
            </w:r>
            <w:r w:rsidR="00093DEF" w:rsidRPr="004A5EAF">
              <w:t xml:space="preserve">ā kārtībā </w:t>
            </w:r>
            <w:r w:rsidR="00F244D3" w:rsidRPr="004A5EAF">
              <w:t xml:space="preserve">atzītas ar </w:t>
            </w:r>
            <w:r w:rsidR="00093DEF" w:rsidRPr="004A5EAF">
              <w:t>šaušanas sporta veid</w:t>
            </w:r>
            <w:r w:rsidR="00F244D3" w:rsidRPr="004A5EAF">
              <w:t>u</w:t>
            </w:r>
            <w:r w:rsidR="00093DEF" w:rsidRPr="004A5EAF">
              <w:t xml:space="preserve"> </w:t>
            </w:r>
            <w:r w:rsidR="00F244D3" w:rsidRPr="004A5EAF">
              <w:t>saistītas</w:t>
            </w:r>
            <w:r w:rsidR="00093DEF" w:rsidRPr="004A5EAF">
              <w:t xml:space="preserve"> sporta federācijas </w:t>
            </w:r>
            <w:r w:rsidR="00F244D3" w:rsidRPr="004A5EAF">
              <w:t xml:space="preserve">izsniegts </w:t>
            </w:r>
            <w:r w:rsidR="00093DEF" w:rsidRPr="004A5EAF">
              <w:t>atzinums</w:t>
            </w:r>
            <w:r w:rsidR="007064BC" w:rsidRPr="004A5EAF">
              <w:t>.</w:t>
            </w:r>
            <w:r w:rsidR="007B3885" w:rsidRPr="004A5EAF">
              <w:t xml:space="preserve"> </w:t>
            </w:r>
          </w:p>
          <w:p w14:paraId="08393C7D" w14:textId="41026659" w:rsidR="00DF48B9" w:rsidRPr="004A5EAF" w:rsidRDefault="004A5EAF" w:rsidP="00DF48B9">
            <w:pPr>
              <w:shd w:val="clear" w:color="auto" w:fill="FFFFFF"/>
              <w:jc w:val="both"/>
            </w:pPr>
            <w:r w:rsidRPr="004A5EAF">
              <w:tab/>
            </w:r>
            <w:r w:rsidR="00DF48B9" w:rsidRPr="004A5EAF">
              <w:t>9.3.</w:t>
            </w:r>
            <w:r w:rsidRPr="004A5EAF">
              <w:t xml:space="preserve"> apakš</w:t>
            </w:r>
            <w:r w:rsidR="00DF48B9" w:rsidRPr="004A5EAF">
              <w:t xml:space="preserve">punkta kritērijs </w:t>
            </w:r>
            <w:r w:rsidRPr="004A5EAF">
              <w:t>–</w:t>
            </w:r>
            <w:r w:rsidR="00DF48B9" w:rsidRPr="004A5EAF">
              <w:t xml:space="preserve"> pretendējot uz atkārtota sertifikāta izsniegšanu, sertifikācijas eksāmens ir jākārto pretendentam, </w:t>
            </w:r>
            <w:r w:rsidR="007064BC" w:rsidRPr="004A5EAF">
              <w:t xml:space="preserve">kurš </w:t>
            </w:r>
            <w:r w:rsidR="00DF48B9" w:rsidRPr="004A5EAF">
              <w:t>vismaz piecus gadus darbojies kā sertificēts šaušanas instruktors</w:t>
            </w:r>
            <w:r w:rsidR="00AB428E" w:rsidRPr="004A5EAF">
              <w:t>, taču nav izpildījis Noteikumu 9.2.</w:t>
            </w:r>
            <w:r w:rsidRPr="004A5EAF">
              <w:t xml:space="preserve"> apakš</w:t>
            </w:r>
            <w:r w:rsidR="00AB428E" w:rsidRPr="004A5EAF">
              <w:t>pun</w:t>
            </w:r>
            <w:r w:rsidR="007064BC" w:rsidRPr="004A5EAF">
              <w:t>k</w:t>
            </w:r>
            <w:r w:rsidR="00AB428E" w:rsidRPr="004A5EAF">
              <w:t>t</w:t>
            </w:r>
            <w:r w:rsidR="007064BC" w:rsidRPr="004A5EAF">
              <w:t>ā</w:t>
            </w:r>
            <w:r w:rsidR="00AB428E" w:rsidRPr="004A5EAF">
              <w:t xml:space="preserve"> noteiktās prasības </w:t>
            </w:r>
            <w:r w:rsidRPr="004A5EAF">
              <w:t>–</w:t>
            </w:r>
            <w:r w:rsidR="007064BC" w:rsidRPr="004A5EAF">
              <w:t xml:space="preserve"> </w:t>
            </w:r>
            <w:r w:rsidR="00AB428E" w:rsidRPr="004A5EAF">
              <w:t>vismaz divus gadus darbojies kā sertificēts šaušanas instruktors, piedaloties treniņšaušanas nodarbībās un sporta federācijas organizēt</w:t>
            </w:r>
            <w:r w:rsidR="007064BC" w:rsidRPr="004A5EAF">
              <w:t>aj</w:t>
            </w:r>
            <w:r w:rsidR="00AB428E" w:rsidRPr="004A5EAF">
              <w:t>ās sacensībās</w:t>
            </w:r>
            <w:r w:rsidR="00DF48B9" w:rsidRPr="004A5EAF">
              <w:t>.</w:t>
            </w:r>
          </w:p>
          <w:p w14:paraId="05C8BED0" w14:textId="13BF1578" w:rsidR="009813D1" w:rsidRPr="004A5EAF" w:rsidRDefault="004A5EAF" w:rsidP="004E2D41">
            <w:pPr>
              <w:pStyle w:val="naiskr"/>
              <w:spacing w:before="0" w:after="0"/>
              <w:jc w:val="both"/>
              <w:rPr>
                <w:bCs/>
              </w:rPr>
            </w:pPr>
            <w:r>
              <w:tab/>
            </w:r>
            <w:r w:rsidR="00093DEF" w:rsidRPr="004A5EAF">
              <w:rPr>
                <w:bCs/>
              </w:rPr>
              <w:t xml:space="preserve">Komisija </w:t>
            </w:r>
            <w:r w:rsidR="00093DEF" w:rsidRPr="004A5EAF">
              <w:t xml:space="preserve">pēc </w:t>
            </w:r>
            <w:r w:rsidR="00093DEF" w:rsidRPr="004A5EAF">
              <w:rPr>
                <w:bCs/>
              </w:rPr>
              <w:t xml:space="preserve">Valsts policijas pārbaudes atzinuma saņemšanas un, izvērtējot </w:t>
            </w:r>
            <w:r w:rsidR="00093DEF" w:rsidRPr="004A5EAF">
              <w:t xml:space="preserve">pretendenta iesniegto dokumentu atbilstību noteikumos noteiktajiem kritērijiem, </w:t>
            </w:r>
            <w:r w:rsidR="00093DEF" w:rsidRPr="004A5EAF">
              <w:rPr>
                <w:bCs/>
              </w:rPr>
              <w:t xml:space="preserve">15 dienu laikā pieņem lēmumu par </w:t>
            </w:r>
            <w:r w:rsidR="004E2D41" w:rsidRPr="004A5EAF">
              <w:rPr>
                <w:bCs/>
              </w:rPr>
              <w:t>s</w:t>
            </w:r>
            <w:r w:rsidR="00093DEF" w:rsidRPr="004A5EAF">
              <w:rPr>
                <w:bCs/>
              </w:rPr>
              <w:t xml:space="preserve">ertifikāta izsniegšanu vai atteikumu izsniegt </w:t>
            </w:r>
            <w:r w:rsidR="004E2D41" w:rsidRPr="004A5EAF">
              <w:rPr>
                <w:bCs/>
              </w:rPr>
              <w:t>s</w:t>
            </w:r>
            <w:r w:rsidR="00093DEF" w:rsidRPr="004A5EAF">
              <w:rPr>
                <w:bCs/>
              </w:rPr>
              <w:t xml:space="preserve">ertifikātu.  Noteikumu projektā noteikts, kādos gadījumos tiek pieņemts lēmums par atteikumu izsniegt  </w:t>
            </w:r>
            <w:r w:rsidR="004E2D41" w:rsidRPr="004A5EAF">
              <w:rPr>
                <w:bCs/>
              </w:rPr>
              <w:t>s</w:t>
            </w:r>
            <w:r w:rsidR="00093DEF" w:rsidRPr="004A5EAF">
              <w:rPr>
                <w:bCs/>
              </w:rPr>
              <w:t xml:space="preserve">ertifikātu. Noteikumu projekts arī paredz, ka </w:t>
            </w:r>
            <w:r w:rsidR="00BF607D" w:rsidRPr="004A5EAF">
              <w:rPr>
                <w:bCs/>
              </w:rPr>
              <w:t>L</w:t>
            </w:r>
            <w:r w:rsidR="00093DEF" w:rsidRPr="004A5EAF">
              <w:rPr>
                <w:bCs/>
              </w:rPr>
              <w:t xml:space="preserve">ikumā noteiktos gadījumos tiek pieņemts lēmums par </w:t>
            </w:r>
            <w:r w:rsidR="004E2D41" w:rsidRPr="004A5EAF">
              <w:rPr>
                <w:bCs/>
              </w:rPr>
              <w:t>s</w:t>
            </w:r>
            <w:r w:rsidR="00093DEF" w:rsidRPr="004A5EAF">
              <w:rPr>
                <w:bCs/>
              </w:rPr>
              <w:t>ertifikāta anulēšanu.</w:t>
            </w:r>
          </w:p>
          <w:p w14:paraId="014CDA7A" w14:textId="449D32D8" w:rsidR="009813D1" w:rsidRPr="004A5EAF" w:rsidRDefault="004A5EAF" w:rsidP="004E2D41">
            <w:pPr>
              <w:pStyle w:val="naiskr"/>
              <w:spacing w:before="0" w:after="0"/>
              <w:jc w:val="both"/>
            </w:pPr>
            <w:r>
              <w:rPr>
                <w:bCs/>
              </w:rPr>
              <w:tab/>
            </w:r>
            <w:r w:rsidR="00093DEF" w:rsidRPr="004A5EAF">
              <w:rPr>
                <w:bCs/>
              </w:rPr>
              <w:t xml:space="preserve">LSFP ziņas par personām, kuras saņēmušas </w:t>
            </w:r>
            <w:r w:rsidR="004E2D41" w:rsidRPr="004A5EAF">
              <w:rPr>
                <w:bCs/>
              </w:rPr>
              <w:t>s</w:t>
            </w:r>
            <w:r w:rsidR="00093DEF" w:rsidRPr="004A5EAF">
              <w:rPr>
                <w:bCs/>
              </w:rPr>
              <w:t xml:space="preserve">ertifikātus, reģistrē Licenču un sertifikātu reģistrā. LSFP  ievada </w:t>
            </w:r>
            <w:r w:rsidR="00BF607D" w:rsidRPr="004A5EAF">
              <w:rPr>
                <w:bCs/>
              </w:rPr>
              <w:t>L</w:t>
            </w:r>
            <w:r w:rsidR="00093DEF" w:rsidRPr="004A5EAF">
              <w:rPr>
                <w:bCs/>
              </w:rPr>
              <w:t>icenču un sertifikātu reģistrā ziņas par personām</w:t>
            </w:r>
            <w:r w:rsidR="00093DEF" w:rsidRPr="004A5EAF">
              <w:t xml:space="preserve">, kurām ir anulēts </w:t>
            </w:r>
            <w:r w:rsidR="004E2D41" w:rsidRPr="004A5EAF">
              <w:t>s</w:t>
            </w:r>
            <w:r w:rsidR="00093DEF" w:rsidRPr="004A5EAF">
              <w:t xml:space="preserve">ertifikāts, </w:t>
            </w:r>
            <w:r w:rsidR="00093DEF" w:rsidRPr="004A5EAF">
              <w:rPr>
                <w:bCs/>
              </w:rPr>
              <w:t xml:space="preserve">pamatojoties uz </w:t>
            </w:r>
            <w:r w:rsidR="00093DEF" w:rsidRPr="004A5EAF">
              <w:t xml:space="preserve">komisijas lēmumu par </w:t>
            </w:r>
            <w:r w:rsidR="004E2D41" w:rsidRPr="004A5EAF">
              <w:t>s</w:t>
            </w:r>
            <w:r w:rsidR="00093DEF" w:rsidRPr="004A5EAF">
              <w:t>ertifikāta anulēšanu, jo instruktors pārkāpis treniņšaušanas vai šaušanas sporta sacensību noteikumus vai drošības noteikumus šautuvē (šaušanas stendā) vai instruktors pārkāpis sporta nozari regulējošos normatīvos aktus</w:t>
            </w:r>
            <w:r w:rsidR="00093DEF" w:rsidRPr="004A5EAF">
              <w:rPr>
                <w:bCs/>
              </w:rPr>
              <w:t>.</w:t>
            </w:r>
          </w:p>
          <w:p w14:paraId="7C663489" w14:textId="6DBEB043" w:rsidR="009813D1" w:rsidRPr="004A5EAF" w:rsidRDefault="004A5EAF" w:rsidP="004E2D41">
            <w:pPr>
              <w:pStyle w:val="naiskr"/>
              <w:spacing w:before="0" w:after="0"/>
              <w:jc w:val="both"/>
              <w:rPr>
                <w:bCs/>
              </w:rPr>
            </w:pPr>
            <w:r>
              <w:tab/>
            </w:r>
            <w:r w:rsidR="00093DEF" w:rsidRPr="004A5EAF">
              <w:t>P</w:t>
            </w:r>
            <w:r w:rsidR="00093DEF" w:rsidRPr="004A5EAF">
              <w:rPr>
                <w:bCs/>
              </w:rPr>
              <w:t xml:space="preserve">retendenti informāciju par atzītām sporta federācijām, atzīto sporta federāciju sacensību kalendāru un ar šaušanu saistītā sporta veida atzītās sporta federācijas sporta klasēm var iegūt </w:t>
            </w:r>
            <w:r w:rsidR="00BF607D" w:rsidRPr="004A5EAF">
              <w:rPr>
                <w:bCs/>
              </w:rPr>
              <w:t>A</w:t>
            </w:r>
            <w:r w:rsidR="00093DEF" w:rsidRPr="004A5EAF">
              <w:rPr>
                <w:bCs/>
              </w:rPr>
              <w:t>tzīto sporta federāciju reģistrā (</w:t>
            </w:r>
            <w:r w:rsidR="00093DEF" w:rsidRPr="001051A3">
              <w:rPr>
                <w:bCs/>
                <w:i/>
              </w:rPr>
              <w:t>www.lsfp.lv</w:t>
            </w:r>
            <w:r w:rsidR="00093DEF" w:rsidRPr="004A5EAF">
              <w:rPr>
                <w:bCs/>
              </w:rPr>
              <w:t>) atbilstoši Ministru kabineta 2009.</w:t>
            </w:r>
            <w:r w:rsidR="00813F8D" w:rsidRPr="004A5EAF">
              <w:rPr>
                <w:bCs/>
              </w:rPr>
              <w:t> </w:t>
            </w:r>
            <w:r w:rsidR="00093DEF" w:rsidRPr="004A5EAF">
              <w:rPr>
                <w:bCs/>
              </w:rPr>
              <w:t>gada 8. decembra noteikumiem Nr. 1396 “Sporta federāciju atzīšanas un atzīto sporta federāciju kontroles kārtība”.</w:t>
            </w:r>
          </w:p>
          <w:p w14:paraId="77FA7124" w14:textId="2059BB9C" w:rsidR="009813D1" w:rsidRPr="004A5EAF" w:rsidRDefault="004A5EAF" w:rsidP="004E2D41">
            <w:pPr>
              <w:pStyle w:val="naiskr"/>
              <w:spacing w:before="0" w:after="0"/>
              <w:jc w:val="both"/>
            </w:pPr>
            <w:r>
              <w:rPr>
                <w:bCs/>
              </w:rPr>
              <w:tab/>
            </w:r>
            <w:r w:rsidR="00093DEF" w:rsidRPr="004A5EAF">
              <w:rPr>
                <w:bCs/>
              </w:rPr>
              <w:t xml:space="preserve">Pēc </w:t>
            </w:r>
            <w:r w:rsidR="004E2D41" w:rsidRPr="004A5EAF">
              <w:rPr>
                <w:bCs/>
              </w:rPr>
              <w:t>s</w:t>
            </w:r>
            <w:r w:rsidR="00093DEF" w:rsidRPr="004A5EAF">
              <w:rPr>
                <w:bCs/>
              </w:rPr>
              <w:t xml:space="preserve">ertifikāta derīguma termiņa beigām instruktoram jāiesniedz jauns iesniegums atkārtota </w:t>
            </w:r>
            <w:r w:rsidR="004E2D41" w:rsidRPr="004A5EAF">
              <w:rPr>
                <w:bCs/>
              </w:rPr>
              <w:t>s</w:t>
            </w:r>
            <w:r w:rsidR="00093DEF" w:rsidRPr="004A5EAF">
              <w:rPr>
                <w:bCs/>
              </w:rPr>
              <w:t xml:space="preserve">ertifikāta saņemšanai. Noteikumu projekts paredz arī gadījumus, kad instruktors ir tiesīgs saņemt </w:t>
            </w:r>
            <w:r w:rsidR="004E2D41" w:rsidRPr="004A5EAF">
              <w:rPr>
                <w:bCs/>
              </w:rPr>
              <w:t>s</w:t>
            </w:r>
            <w:r w:rsidR="00093DEF" w:rsidRPr="004A5EAF">
              <w:rPr>
                <w:bCs/>
              </w:rPr>
              <w:t xml:space="preserve">ertifikāta </w:t>
            </w:r>
            <w:r w:rsidR="00093DEF" w:rsidRPr="004A5EAF">
              <w:t xml:space="preserve">dublikātu, ja </w:t>
            </w:r>
            <w:r w:rsidR="004E2D41" w:rsidRPr="004A5EAF">
              <w:t>s</w:t>
            </w:r>
            <w:r w:rsidR="00093DEF" w:rsidRPr="004A5EAF">
              <w:t xml:space="preserve">ertifikāts nozaudēts, nozagts, iznīcināts vai bojāts, vai atjaunot </w:t>
            </w:r>
            <w:r w:rsidR="004E2D41" w:rsidRPr="004A5EAF">
              <w:t>s</w:t>
            </w:r>
            <w:r w:rsidR="00093DEF" w:rsidRPr="004A5EAF">
              <w:t>ertifikātu, ja mainīti tajā norādītie fiziskās personas dati.</w:t>
            </w:r>
          </w:p>
          <w:p w14:paraId="5DD363BE" w14:textId="7C71FCEE" w:rsidR="00093DEF" w:rsidRPr="004A5EAF" w:rsidRDefault="004A5EAF" w:rsidP="004E2D41">
            <w:pPr>
              <w:pStyle w:val="naiskr"/>
              <w:spacing w:before="0" w:after="0"/>
              <w:jc w:val="both"/>
              <w:rPr>
                <w:bCs/>
              </w:rPr>
            </w:pPr>
            <w:r>
              <w:lastRenderedPageBreak/>
              <w:tab/>
            </w:r>
            <w:r w:rsidR="00093DEF" w:rsidRPr="004A5EAF">
              <w:rPr>
                <w:bCs/>
              </w:rPr>
              <w:t xml:space="preserve">Noteikumu projekts paredz, ka </w:t>
            </w:r>
            <w:r w:rsidR="004E2D41" w:rsidRPr="004A5EAF">
              <w:rPr>
                <w:bCs/>
              </w:rPr>
              <w:t>s</w:t>
            </w:r>
            <w:r w:rsidR="00093DEF" w:rsidRPr="004A5EAF">
              <w:rPr>
                <w:bCs/>
              </w:rPr>
              <w:t xml:space="preserve">ertifikāta, </w:t>
            </w:r>
            <w:r w:rsidR="00093DEF" w:rsidRPr="004A5EAF">
              <w:t xml:space="preserve"> </w:t>
            </w:r>
            <w:r w:rsidR="004E2D41" w:rsidRPr="004A5EAF">
              <w:rPr>
                <w:bCs/>
              </w:rPr>
              <w:t>s</w:t>
            </w:r>
            <w:r w:rsidR="00093DEF" w:rsidRPr="004A5EAF">
              <w:rPr>
                <w:bCs/>
              </w:rPr>
              <w:t xml:space="preserve">ertifikāta dublikāta un atjaunota </w:t>
            </w:r>
            <w:r w:rsidR="004E2D41" w:rsidRPr="004A5EAF">
              <w:rPr>
                <w:bCs/>
              </w:rPr>
              <w:t>s</w:t>
            </w:r>
            <w:r w:rsidR="00093DEF" w:rsidRPr="004A5EAF">
              <w:rPr>
                <w:bCs/>
              </w:rPr>
              <w:t>ertifikāta izsniegšana, sertifikācijas eksāmena kārtošana ir maksas pakalpojums. Maksa par LSFP sniegtajiem maksas pakalpojumiem iemaksājama LSFP kontā</w:t>
            </w:r>
            <w:bookmarkStart w:id="5" w:name="n0"/>
            <w:bookmarkEnd w:id="5"/>
            <w:r w:rsidR="00093DEF" w:rsidRPr="004A5EAF">
              <w:rPr>
                <w:bCs/>
              </w:rPr>
              <w:t>.</w:t>
            </w:r>
          </w:p>
        </w:tc>
      </w:tr>
      <w:tr w:rsidR="00DE2CC0" w:rsidRPr="004A5EAF" w14:paraId="201BC52F" w14:textId="77777777" w:rsidTr="004A5EAF">
        <w:trPr>
          <w:trHeight w:val="460"/>
        </w:trPr>
        <w:tc>
          <w:tcPr>
            <w:tcW w:w="425" w:type="dxa"/>
          </w:tcPr>
          <w:p w14:paraId="3697107D" w14:textId="2114F17E" w:rsidR="00093DEF" w:rsidRPr="004A5EAF" w:rsidRDefault="00093DEF" w:rsidP="004E2D41">
            <w:pPr>
              <w:jc w:val="center"/>
              <w:rPr>
                <w:color w:val="auto"/>
              </w:rPr>
            </w:pPr>
            <w:r w:rsidRPr="004A5EAF">
              <w:rPr>
                <w:color w:val="auto"/>
              </w:rPr>
              <w:lastRenderedPageBreak/>
              <w:t>3.</w:t>
            </w:r>
          </w:p>
        </w:tc>
        <w:tc>
          <w:tcPr>
            <w:tcW w:w="2694" w:type="dxa"/>
          </w:tcPr>
          <w:p w14:paraId="5C60598F" w14:textId="77777777" w:rsidR="00093DEF" w:rsidRPr="004A5EAF" w:rsidRDefault="00093DEF" w:rsidP="004E2D41">
            <w:pPr>
              <w:rPr>
                <w:color w:val="auto"/>
              </w:rPr>
            </w:pPr>
            <w:r w:rsidRPr="004A5EAF">
              <w:rPr>
                <w:color w:val="auto"/>
              </w:rPr>
              <w:t>Projekta izstrādē iesaistītās institūcijas un publiskas personas kapitālsabiedrības</w:t>
            </w:r>
          </w:p>
        </w:tc>
        <w:tc>
          <w:tcPr>
            <w:tcW w:w="7091" w:type="dxa"/>
          </w:tcPr>
          <w:p w14:paraId="7758AE18" w14:textId="15C607A4" w:rsidR="00093DEF" w:rsidRPr="004A5EAF" w:rsidRDefault="004A5EAF" w:rsidP="004E2D41">
            <w:pPr>
              <w:jc w:val="both"/>
              <w:rPr>
                <w:color w:val="auto"/>
              </w:rPr>
            </w:pPr>
            <w:r>
              <w:rPr>
                <w:bCs/>
                <w:color w:val="auto"/>
              </w:rPr>
              <w:tab/>
            </w:r>
            <w:r w:rsidR="00093DEF" w:rsidRPr="004A5EAF">
              <w:rPr>
                <w:bCs/>
                <w:color w:val="auto"/>
              </w:rPr>
              <w:t>Izglītības un zinātnes ministrija, Valsts policija,</w:t>
            </w:r>
            <w:r w:rsidR="006A1DF8" w:rsidRPr="004A5EAF">
              <w:rPr>
                <w:bCs/>
                <w:color w:val="auto"/>
              </w:rPr>
              <w:t xml:space="preserve"> </w:t>
            </w:r>
            <w:r w:rsidR="006A1DF8" w:rsidRPr="004A5EAF">
              <w:rPr>
                <w:color w:val="auto"/>
                <w:shd w:val="clear" w:color="auto" w:fill="FFFFFF"/>
              </w:rPr>
              <w:t xml:space="preserve">Šaušanas federācija, </w:t>
            </w:r>
            <w:r w:rsidR="00543CD1" w:rsidRPr="004A5EAF">
              <w:rPr>
                <w:bCs/>
                <w:color w:val="auto"/>
              </w:rPr>
              <w:t>mednieku organizācija, kurā ir vismaz 500 biedru</w:t>
            </w:r>
            <w:r w:rsidR="00543CD1" w:rsidRPr="004A5EAF">
              <w:rPr>
                <w:color w:val="auto"/>
                <w:shd w:val="clear" w:color="auto" w:fill="FFFFFF"/>
              </w:rPr>
              <w:t xml:space="preserve"> </w:t>
            </w:r>
            <w:r w:rsidR="00813F8D" w:rsidRPr="004A5EAF">
              <w:rPr>
                <w:color w:val="auto"/>
                <w:shd w:val="clear" w:color="auto" w:fill="FFFFFF"/>
              </w:rPr>
              <w:t>–</w:t>
            </w:r>
            <w:r w:rsidR="00C72CE0" w:rsidRPr="004A5EAF">
              <w:rPr>
                <w:color w:val="auto"/>
                <w:shd w:val="clear" w:color="auto" w:fill="FFFFFF"/>
              </w:rPr>
              <w:t xml:space="preserve"> </w:t>
            </w:r>
            <w:r w:rsidR="006A1DF8" w:rsidRPr="004A5EAF">
              <w:rPr>
                <w:color w:val="auto"/>
                <w:shd w:val="clear" w:color="auto" w:fill="FFFFFF"/>
              </w:rPr>
              <w:t xml:space="preserve">biedrība </w:t>
            </w:r>
            <w:r w:rsidR="009B21D6" w:rsidRPr="004A5EAF">
              <w:rPr>
                <w:color w:val="auto"/>
                <w:shd w:val="clear" w:color="auto" w:fill="FFFFFF"/>
              </w:rPr>
              <w:t>“</w:t>
            </w:r>
            <w:r w:rsidR="006A1DF8" w:rsidRPr="004A5EAF">
              <w:rPr>
                <w:color w:val="auto"/>
                <w:shd w:val="clear" w:color="auto" w:fill="FFFFFF"/>
              </w:rPr>
              <w:t>Latvijas</w:t>
            </w:r>
            <w:r w:rsidR="00543CD1" w:rsidRPr="004A5EAF">
              <w:rPr>
                <w:color w:val="auto"/>
                <w:shd w:val="clear" w:color="auto" w:fill="FFFFFF"/>
              </w:rPr>
              <w:t xml:space="preserve"> </w:t>
            </w:r>
            <w:r w:rsidR="006A1DF8" w:rsidRPr="004A5EAF">
              <w:rPr>
                <w:color w:val="auto"/>
                <w:shd w:val="clear" w:color="auto" w:fill="FFFFFF"/>
              </w:rPr>
              <w:t>Mednieku savienība</w:t>
            </w:r>
            <w:r w:rsidR="00543CD1" w:rsidRPr="004A5EAF">
              <w:rPr>
                <w:color w:val="auto"/>
                <w:shd w:val="clear" w:color="auto" w:fill="FFFFFF"/>
              </w:rPr>
              <w:t>”</w:t>
            </w:r>
            <w:r w:rsidR="009B21D6" w:rsidRPr="004A5EAF">
              <w:rPr>
                <w:color w:val="auto"/>
                <w:shd w:val="clear" w:color="auto" w:fill="FFFFFF"/>
              </w:rPr>
              <w:t xml:space="preserve"> (turpmāk – Mednieku savienība)</w:t>
            </w:r>
            <w:r w:rsidR="00543CD1" w:rsidRPr="004A5EAF">
              <w:rPr>
                <w:color w:val="auto"/>
                <w:shd w:val="clear" w:color="auto" w:fill="FFFFFF"/>
              </w:rPr>
              <w:t>,</w:t>
            </w:r>
            <w:r w:rsidR="00093DEF" w:rsidRPr="004A5EAF">
              <w:rPr>
                <w:bCs/>
                <w:color w:val="auto"/>
              </w:rPr>
              <w:t xml:space="preserve"> biedrīb</w:t>
            </w:r>
            <w:r w:rsidR="00BF607D" w:rsidRPr="004A5EAF">
              <w:rPr>
                <w:bCs/>
                <w:color w:val="auto"/>
              </w:rPr>
              <w:t>a</w:t>
            </w:r>
            <w:r w:rsidR="00093DEF" w:rsidRPr="004A5EAF">
              <w:rPr>
                <w:bCs/>
                <w:color w:val="auto"/>
              </w:rPr>
              <w:t xml:space="preserve"> “Latvijas Biatlona federācija”</w:t>
            </w:r>
            <w:r w:rsidR="009B21D6" w:rsidRPr="004A5EAF">
              <w:rPr>
                <w:bCs/>
                <w:color w:val="auto"/>
              </w:rPr>
              <w:t xml:space="preserve"> (turpmāk – Biatlona federācija)</w:t>
            </w:r>
            <w:r w:rsidR="00093DEF" w:rsidRPr="004A5EAF">
              <w:rPr>
                <w:bCs/>
                <w:color w:val="auto"/>
              </w:rPr>
              <w:t>, biedrīb</w:t>
            </w:r>
            <w:r w:rsidR="00BF607D" w:rsidRPr="004A5EAF">
              <w:rPr>
                <w:bCs/>
                <w:color w:val="auto"/>
              </w:rPr>
              <w:t>a</w:t>
            </w:r>
            <w:r w:rsidR="00093DEF" w:rsidRPr="004A5EAF">
              <w:rPr>
                <w:bCs/>
                <w:color w:val="auto"/>
              </w:rPr>
              <w:t xml:space="preserve"> “Latvijas </w:t>
            </w:r>
            <w:proofErr w:type="spellStart"/>
            <w:r w:rsidR="00093DEF" w:rsidRPr="004A5EAF">
              <w:rPr>
                <w:bCs/>
                <w:color w:val="auto"/>
              </w:rPr>
              <w:t>Sportinga</w:t>
            </w:r>
            <w:proofErr w:type="spellEnd"/>
            <w:r w:rsidR="00093DEF" w:rsidRPr="004A5EAF">
              <w:rPr>
                <w:bCs/>
                <w:color w:val="auto"/>
              </w:rPr>
              <w:t xml:space="preserve"> federācija”</w:t>
            </w:r>
            <w:r w:rsidR="009B21D6" w:rsidRPr="004A5EAF">
              <w:rPr>
                <w:bCs/>
                <w:color w:val="auto"/>
              </w:rPr>
              <w:t xml:space="preserve"> (turpmāk – </w:t>
            </w:r>
            <w:proofErr w:type="spellStart"/>
            <w:r w:rsidR="009B21D6" w:rsidRPr="004A5EAF">
              <w:rPr>
                <w:bCs/>
                <w:color w:val="auto"/>
              </w:rPr>
              <w:t>Sportinga</w:t>
            </w:r>
            <w:proofErr w:type="spellEnd"/>
            <w:r w:rsidR="009B21D6" w:rsidRPr="004A5EAF">
              <w:rPr>
                <w:bCs/>
                <w:color w:val="auto"/>
              </w:rPr>
              <w:t xml:space="preserve"> federācija)</w:t>
            </w:r>
            <w:r w:rsidR="00093DEF" w:rsidRPr="004A5EAF">
              <w:rPr>
                <w:bCs/>
                <w:color w:val="auto"/>
              </w:rPr>
              <w:t>.</w:t>
            </w:r>
          </w:p>
        </w:tc>
      </w:tr>
      <w:tr w:rsidR="00DE2CC0" w:rsidRPr="004A5EAF" w14:paraId="2068239B" w14:textId="77777777" w:rsidTr="004A5EAF">
        <w:tc>
          <w:tcPr>
            <w:tcW w:w="425" w:type="dxa"/>
          </w:tcPr>
          <w:p w14:paraId="6468564B" w14:textId="77777777" w:rsidR="00093DEF" w:rsidRPr="004A5EAF" w:rsidRDefault="00093DEF" w:rsidP="004E2D41">
            <w:pPr>
              <w:jc w:val="center"/>
              <w:rPr>
                <w:color w:val="auto"/>
              </w:rPr>
            </w:pPr>
            <w:r w:rsidRPr="004A5EAF">
              <w:rPr>
                <w:color w:val="auto"/>
              </w:rPr>
              <w:t>4.</w:t>
            </w:r>
          </w:p>
        </w:tc>
        <w:tc>
          <w:tcPr>
            <w:tcW w:w="2694" w:type="dxa"/>
          </w:tcPr>
          <w:p w14:paraId="11C35A42" w14:textId="77777777" w:rsidR="00093DEF" w:rsidRPr="004A5EAF" w:rsidRDefault="00093DEF" w:rsidP="004E2D41">
            <w:pPr>
              <w:rPr>
                <w:color w:val="auto"/>
              </w:rPr>
            </w:pPr>
            <w:r w:rsidRPr="004A5EAF">
              <w:rPr>
                <w:color w:val="auto"/>
              </w:rPr>
              <w:t>Cita informācija</w:t>
            </w:r>
          </w:p>
        </w:tc>
        <w:tc>
          <w:tcPr>
            <w:tcW w:w="7091" w:type="dxa"/>
          </w:tcPr>
          <w:p w14:paraId="0E6A55BE" w14:textId="0A0A1C16" w:rsidR="00093DEF" w:rsidRPr="004A5EAF" w:rsidRDefault="00316232" w:rsidP="00316232">
            <w:pPr>
              <w:jc w:val="both"/>
              <w:rPr>
                <w:color w:val="auto"/>
              </w:rPr>
            </w:pPr>
            <w:r>
              <w:rPr>
                <w:color w:val="auto"/>
              </w:rPr>
              <w:t xml:space="preserve">Noteikumu projekts attiecas uz </w:t>
            </w:r>
            <w:r w:rsidRPr="00316232">
              <w:rPr>
                <w:color w:val="auto"/>
              </w:rPr>
              <w:t>tūrisma, sporta un brīvā laika politiku (sporta politiku).</w:t>
            </w:r>
          </w:p>
        </w:tc>
      </w:tr>
    </w:tbl>
    <w:p w14:paraId="562AB305" w14:textId="77777777" w:rsidR="00863953" w:rsidRPr="004A5EAF" w:rsidRDefault="00863953" w:rsidP="004E2D41">
      <w:pPr>
        <w:shd w:val="clear" w:color="auto" w:fill="FFFFFF"/>
        <w:ind w:firstLine="300"/>
        <w:rPr>
          <w:color w:val="auto"/>
        </w:rPr>
      </w:pPr>
    </w:p>
    <w:tbl>
      <w:tblPr>
        <w:tblW w:w="10210"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25"/>
        <w:gridCol w:w="2694"/>
        <w:gridCol w:w="7091"/>
      </w:tblGrid>
      <w:tr w:rsidR="00DE2CC0" w:rsidRPr="004A5EAF" w14:paraId="3031EAEB" w14:textId="77777777" w:rsidTr="004A5EAF">
        <w:trPr>
          <w:trHeight w:val="220"/>
        </w:trPr>
        <w:tc>
          <w:tcPr>
            <w:tcW w:w="10210" w:type="dxa"/>
            <w:gridSpan w:val="3"/>
            <w:vAlign w:val="center"/>
          </w:tcPr>
          <w:p w14:paraId="3F22AC1F" w14:textId="77777777" w:rsidR="00863953" w:rsidRPr="004A5EAF" w:rsidRDefault="00863953" w:rsidP="004E2D41">
            <w:pPr>
              <w:jc w:val="center"/>
              <w:rPr>
                <w:b/>
                <w:color w:val="auto"/>
              </w:rPr>
            </w:pPr>
            <w:r w:rsidRPr="004A5EAF">
              <w:rPr>
                <w:b/>
                <w:color w:val="auto"/>
              </w:rPr>
              <w:t>II. Tiesību akta projekta ietekme uz sabiedrību, tautsaimniecības attīstību un administratīvo slogu</w:t>
            </w:r>
          </w:p>
        </w:tc>
      </w:tr>
      <w:tr w:rsidR="00DE2CC0" w:rsidRPr="004A5EAF" w14:paraId="09C6D9B0" w14:textId="77777777" w:rsidTr="004A5EAF">
        <w:trPr>
          <w:trHeight w:val="460"/>
        </w:trPr>
        <w:tc>
          <w:tcPr>
            <w:tcW w:w="425" w:type="dxa"/>
          </w:tcPr>
          <w:p w14:paraId="060E020E" w14:textId="77777777" w:rsidR="00863953" w:rsidRPr="004A5EAF" w:rsidRDefault="00863953" w:rsidP="004E2D41">
            <w:pPr>
              <w:rPr>
                <w:color w:val="auto"/>
              </w:rPr>
            </w:pPr>
            <w:r w:rsidRPr="004A5EAF">
              <w:rPr>
                <w:color w:val="auto"/>
              </w:rPr>
              <w:t>1.</w:t>
            </w:r>
          </w:p>
        </w:tc>
        <w:tc>
          <w:tcPr>
            <w:tcW w:w="2694" w:type="dxa"/>
          </w:tcPr>
          <w:p w14:paraId="62718DE7" w14:textId="77777777" w:rsidR="00863953" w:rsidRPr="004A5EAF" w:rsidRDefault="00863953" w:rsidP="004E2D41">
            <w:pPr>
              <w:rPr>
                <w:color w:val="auto"/>
              </w:rPr>
            </w:pPr>
            <w:r w:rsidRPr="004A5EAF">
              <w:rPr>
                <w:color w:val="auto"/>
              </w:rPr>
              <w:t>Sabiedrības mērķgrupas, kuras tiesiskais regulējums ietekmē vai varētu ietekmēt</w:t>
            </w:r>
          </w:p>
        </w:tc>
        <w:tc>
          <w:tcPr>
            <w:tcW w:w="7091" w:type="dxa"/>
          </w:tcPr>
          <w:p w14:paraId="395DC750" w14:textId="4B9E25E5" w:rsidR="009813D1" w:rsidRPr="004A5EAF" w:rsidRDefault="004A5EAF" w:rsidP="004E2D41">
            <w:pPr>
              <w:pStyle w:val="naiskr"/>
              <w:tabs>
                <w:tab w:val="left" w:pos="288"/>
              </w:tabs>
              <w:spacing w:before="0" w:after="0"/>
              <w:ind w:right="119"/>
              <w:jc w:val="both"/>
            </w:pPr>
            <w:r>
              <w:tab/>
            </w:r>
            <w:r>
              <w:tab/>
            </w:r>
            <w:r w:rsidR="00093DEF" w:rsidRPr="004A5EAF">
              <w:t xml:space="preserve">Noteikumu projekts attiecināms uz </w:t>
            </w:r>
            <w:r w:rsidR="00BF607D" w:rsidRPr="004A5EAF">
              <w:t xml:space="preserve">Izglītības un zinātnes </w:t>
            </w:r>
            <w:r w:rsidR="009813D1" w:rsidRPr="004A5EAF">
              <w:t>ministriju un LSFP.</w:t>
            </w:r>
          </w:p>
          <w:p w14:paraId="4FB98C6C" w14:textId="3602824A" w:rsidR="009813D1" w:rsidRPr="004A5EAF" w:rsidRDefault="004A5EAF" w:rsidP="004E2D41">
            <w:pPr>
              <w:pStyle w:val="naiskr"/>
              <w:tabs>
                <w:tab w:val="left" w:pos="288"/>
              </w:tabs>
              <w:spacing w:before="0" w:after="0"/>
              <w:ind w:right="119"/>
              <w:jc w:val="both"/>
            </w:pPr>
            <w:r>
              <w:tab/>
            </w:r>
            <w:r>
              <w:tab/>
            </w:r>
            <w:r w:rsidR="00093DEF" w:rsidRPr="004A5EAF">
              <w:t>Noteikumu projekta tiesiskais regulējums attiecināms uz fiziskām personām:</w:t>
            </w:r>
            <w:r>
              <w:t xml:space="preserve"> </w:t>
            </w:r>
            <w:r w:rsidR="009813D1" w:rsidRPr="004A5EAF">
              <w:t xml:space="preserve">(1) </w:t>
            </w:r>
            <w:r w:rsidR="00093DEF" w:rsidRPr="004A5EAF">
              <w:t xml:space="preserve">kuras vēlas saņemt </w:t>
            </w:r>
            <w:r w:rsidR="004E2D41" w:rsidRPr="004A5EAF">
              <w:t>s</w:t>
            </w:r>
            <w:r w:rsidR="00093DEF" w:rsidRPr="004A5EAF">
              <w:t>ertifikātu, lai i</w:t>
            </w:r>
            <w:r>
              <w:t xml:space="preserve">egūtu tiesības strādāt šautuvēs, kā arī </w:t>
            </w:r>
            <w:r w:rsidR="009813D1" w:rsidRPr="004A5EAF">
              <w:t xml:space="preserve">(2) </w:t>
            </w:r>
            <w:r w:rsidR="00093DEF" w:rsidRPr="004A5EAF">
              <w:t xml:space="preserve">kuras saņēmušas </w:t>
            </w:r>
            <w:r w:rsidR="004E2D41" w:rsidRPr="004A5EAF">
              <w:t>s</w:t>
            </w:r>
            <w:r w:rsidR="00093DEF" w:rsidRPr="004A5EAF">
              <w:t xml:space="preserve">ertifikātus un kuras vēlēsies saņemt atkārtotu </w:t>
            </w:r>
            <w:r w:rsidR="004E2D41" w:rsidRPr="004A5EAF">
              <w:t>s</w:t>
            </w:r>
            <w:r w:rsidR="00093DEF" w:rsidRPr="004A5EAF">
              <w:t>ertifikātu.</w:t>
            </w:r>
          </w:p>
          <w:p w14:paraId="1C4CE527" w14:textId="680ABEBF" w:rsidR="009813D1" w:rsidRPr="004A5EAF" w:rsidRDefault="004A5EAF" w:rsidP="004E2D41">
            <w:pPr>
              <w:pStyle w:val="naiskr"/>
              <w:tabs>
                <w:tab w:val="left" w:pos="288"/>
              </w:tabs>
              <w:spacing w:before="0" w:after="0"/>
              <w:ind w:right="119"/>
              <w:jc w:val="both"/>
            </w:pPr>
            <w:r>
              <w:tab/>
            </w:r>
            <w:r>
              <w:tab/>
            </w:r>
            <w:r w:rsidR="00093DEF" w:rsidRPr="004A5EAF">
              <w:t>Pēc LSFP rīcībā esošās informācijas</w:t>
            </w:r>
            <w:r w:rsidR="00335C1D" w:rsidRPr="004A5EAF">
              <w:t xml:space="preserve"> pēdējā gada periodā ir izsniegti 82</w:t>
            </w:r>
            <w:r w:rsidR="00C12466" w:rsidRPr="004A5EAF">
              <w:t xml:space="preserve"> </w:t>
            </w:r>
            <w:r w:rsidR="00093DEF" w:rsidRPr="004A5EAF">
              <w:t xml:space="preserve">šaušanas </w:t>
            </w:r>
            <w:r w:rsidR="004E2D41" w:rsidRPr="004A5EAF">
              <w:t>s</w:t>
            </w:r>
            <w:r w:rsidR="00093DEF" w:rsidRPr="004A5EAF">
              <w:t>ertifikāti.</w:t>
            </w:r>
          </w:p>
          <w:p w14:paraId="4CFFBB72" w14:textId="26F5EC1D" w:rsidR="00863953" w:rsidRPr="004A5EAF" w:rsidRDefault="004A5EAF" w:rsidP="004E2D41">
            <w:pPr>
              <w:pStyle w:val="naiskr"/>
              <w:tabs>
                <w:tab w:val="left" w:pos="288"/>
              </w:tabs>
              <w:spacing w:before="0" w:after="0"/>
              <w:ind w:right="119"/>
              <w:jc w:val="both"/>
            </w:pPr>
            <w:r>
              <w:tab/>
            </w:r>
            <w:r>
              <w:tab/>
            </w:r>
            <w:r w:rsidR="00BF607D" w:rsidRPr="004A5EAF">
              <w:t>N</w:t>
            </w:r>
            <w:r w:rsidR="00093DEF" w:rsidRPr="004A5EAF">
              <w:t xml:space="preserve">oteikumu projekts dod tiesības jebkurai vismaz 21 gadu vecumu sasniegušai fiziskai personai pēc attiecīgu dokumentu iesniegšanas un, ja nepieciešams, </w:t>
            </w:r>
            <w:r w:rsidR="00053FBD" w:rsidRPr="004A5EAF">
              <w:t xml:space="preserve">sertifikācijas </w:t>
            </w:r>
            <w:r w:rsidR="00093DEF" w:rsidRPr="004A5EAF">
              <w:t>eksāmena nokārtošanas</w:t>
            </w:r>
            <w:r w:rsidR="00BF607D" w:rsidRPr="004A5EAF">
              <w:t>,</w:t>
            </w:r>
            <w:r w:rsidR="00093DEF" w:rsidRPr="004A5EAF">
              <w:t xml:space="preserve"> iegūt  </w:t>
            </w:r>
            <w:r w:rsidR="004E2D41" w:rsidRPr="004A5EAF">
              <w:t>s</w:t>
            </w:r>
            <w:r w:rsidR="00093DEF" w:rsidRPr="004A5EAF">
              <w:t>ertifikātu.</w:t>
            </w:r>
          </w:p>
        </w:tc>
      </w:tr>
      <w:tr w:rsidR="00DE2CC0" w:rsidRPr="004A5EAF" w14:paraId="0B689742" w14:textId="77777777" w:rsidTr="004A5EAF">
        <w:trPr>
          <w:trHeight w:val="500"/>
        </w:trPr>
        <w:tc>
          <w:tcPr>
            <w:tcW w:w="425" w:type="dxa"/>
          </w:tcPr>
          <w:p w14:paraId="2C99DD2D" w14:textId="77777777" w:rsidR="00093DEF" w:rsidRPr="004A5EAF" w:rsidRDefault="00093DEF" w:rsidP="004E2D41">
            <w:pPr>
              <w:rPr>
                <w:color w:val="auto"/>
              </w:rPr>
            </w:pPr>
            <w:r w:rsidRPr="004A5EAF">
              <w:rPr>
                <w:color w:val="auto"/>
              </w:rPr>
              <w:t>2.</w:t>
            </w:r>
          </w:p>
        </w:tc>
        <w:tc>
          <w:tcPr>
            <w:tcW w:w="2694" w:type="dxa"/>
          </w:tcPr>
          <w:p w14:paraId="25C6CF95" w14:textId="77777777" w:rsidR="00093DEF" w:rsidRPr="004A5EAF" w:rsidRDefault="00093DEF" w:rsidP="004E2D41">
            <w:pPr>
              <w:rPr>
                <w:color w:val="auto"/>
              </w:rPr>
            </w:pPr>
            <w:r w:rsidRPr="004A5EAF">
              <w:rPr>
                <w:color w:val="auto"/>
              </w:rPr>
              <w:t>Tiesiskā regulējuma ietekme uz tautsaimniecību un administratīvo slogu</w:t>
            </w:r>
          </w:p>
        </w:tc>
        <w:tc>
          <w:tcPr>
            <w:tcW w:w="7091" w:type="dxa"/>
          </w:tcPr>
          <w:p w14:paraId="57163E80" w14:textId="6E04BCF7" w:rsidR="00093DEF" w:rsidRPr="004A5EAF" w:rsidRDefault="009813D1" w:rsidP="00CE63D6">
            <w:pPr>
              <w:pStyle w:val="naiskr"/>
              <w:spacing w:before="0" w:after="0"/>
              <w:ind w:right="119"/>
              <w:jc w:val="both"/>
            </w:pPr>
            <w:r w:rsidRPr="004A5EAF">
              <w:t xml:space="preserve">   </w:t>
            </w:r>
            <w:r w:rsidR="004A5EAF">
              <w:tab/>
            </w:r>
            <w:r w:rsidR="00F450B8" w:rsidRPr="004A5EAF">
              <w:t xml:space="preserve">Sabiedrības grupām un institūcijām </w:t>
            </w:r>
            <w:r w:rsidR="004B722E" w:rsidRPr="004A5EAF">
              <w:t xml:space="preserve">noteikumu </w:t>
            </w:r>
            <w:r w:rsidR="00F450B8" w:rsidRPr="004A5EAF">
              <w:t xml:space="preserve">projekta tiesiskais regulējums administratīvo slogu, kā arī veicamās darbības nemaina. </w:t>
            </w:r>
            <w:r w:rsidR="00093DEF" w:rsidRPr="004A5EAF">
              <w:t>LSFP</w:t>
            </w:r>
            <w:r w:rsidR="00BF607D" w:rsidRPr="004A5EAF">
              <w:t>,</w:t>
            </w:r>
            <w:r w:rsidR="00093DEF" w:rsidRPr="004A5EAF">
              <w:t xml:space="preserve"> veicot instruktoru sertificēšanu, šobrīd jau nodrošina, ka informācija par visām tās sertificētām personām, kurām ir tiesības ar ieroci un munīciju veikt darbu treniņšaušanas (mācību šaušanas) vai sporta sacensību laikā, ir iekļauta vienotā Iekšlietu ministrijas Licenču un sertifikātu reģistrā</w:t>
            </w:r>
            <w:r w:rsidR="0083554A" w:rsidRPr="004A5EAF">
              <w:t xml:space="preserve"> (</w:t>
            </w:r>
            <w:r w:rsidR="00252AB8" w:rsidRPr="004A5EAF">
              <w:t>L</w:t>
            </w:r>
            <w:r w:rsidR="0083554A" w:rsidRPr="004A5EAF">
              <w:t>ikuma 72.</w:t>
            </w:r>
            <w:r w:rsidR="00252AB8" w:rsidRPr="004A5EAF">
              <w:t xml:space="preserve"> </w:t>
            </w:r>
            <w:r w:rsidR="0083554A" w:rsidRPr="004A5EAF">
              <w:t xml:space="preserve">panta </w:t>
            </w:r>
            <w:r w:rsidR="00CE63D6">
              <w:t>desmitā</w:t>
            </w:r>
            <w:r w:rsidR="0083554A" w:rsidRPr="004A5EAF">
              <w:t xml:space="preserve"> daļa, Ministru kabineta </w:t>
            </w:r>
            <w:r w:rsidR="00252AB8" w:rsidRPr="004A5EAF">
              <w:t xml:space="preserve">2020. gada 25. februāra </w:t>
            </w:r>
            <w:r w:rsidR="0083554A" w:rsidRPr="004A5EAF">
              <w:t>noteikum</w:t>
            </w:r>
            <w:r w:rsidR="00252AB8" w:rsidRPr="004A5EAF">
              <w:t>u</w:t>
            </w:r>
            <w:r w:rsidR="0083554A" w:rsidRPr="004A5EAF">
              <w:t xml:space="preserve"> Nr.120 </w:t>
            </w:r>
            <w:r w:rsidR="007064BC" w:rsidRPr="004A5EAF">
              <w:t>“</w:t>
            </w:r>
            <w:r w:rsidR="0083554A" w:rsidRPr="004A5EAF">
              <w:t>Licenču un sertifikātu reģistra noteikumi</w:t>
            </w:r>
            <w:r w:rsidR="007064BC" w:rsidRPr="004A5EAF">
              <w:t>”</w:t>
            </w:r>
            <w:r w:rsidR="0083554A" w:rsidRPr="004A5EAF">
              <w:t xml:space="preserve"> 17.</w:t>
            </w:r>
            <w:r w:rsidR="00252AB8" w:rsidRPr="004A5EAF">
              <w:t xml:space="preserve"> </w:t>
            </w:r>
            <w:r w:rsidR="0083554A" w:rsidRPr="004A5EAF">
              <w:t>punkts un 27.13.</w:t>
            </w:r>
            <w:r w:rsidR="00252AB8" w:rsidRPr="004A5EAF">
              <w:t xml:space="preserve"> apakš</w:t>
            </w:r>
            <w:r w:rsidR="0083554A" w:rsidRPr="004A5EAF">
              <w:t xml:space="preserve">punkts). </w:t>
            </w:r>
            <w:r w:rsidR="00093DEF" w:rsidRPr="004A5EAF">
              <w:t>Tas nodrošina iespēju pārliecināties par pakalpojuma sniedzēja – instruktora – kompetenci un atbilstību likum</w:t>
            </w:r>
            <w:r w:rsidR="00BF607D" w:rsidRPr="004A5EAF">
              <w:t>ā</w:t>
            </w:r>
            <w:r w:rsidR="00093DEF" w:rsidRPr="004A5EAF">
              <w:t xml:space="preserve"> noteiktajām prasībām darbam šautuvē.</w:t>
            </w:r>
          </w:p>
        </w:tc>
      </w:tr>
      <w:tr w:rsidR="00DE2CC0" w:rsidRPr="004A5EAF" w14:paraId="1F943112" w14:textId="77777777" w:rsidTr="004A5EAF">
        <w:trPr>
          <w:trHeight w:val="500"/>
        </w:trPr>
        <w:tc>
          <w:tcPr>
            <w:tcW w:w="425" w:type="dxa"/>
          </w:tcPr>
          <w:p w14:paraId="467F81E3" w14:textId="77777777" w:rsidR="00093DEF" w:rsidRPr="004A5EAF" w:rsidRDefault="00093DEF" w:rsidP="004E2D41">
            <w:pPr>
              <w:rPr>
                <w:color w:val="auto"/>
              </w:rPr>
            </w:pPr>
            <w:r w:rsidRPr="004A5EAF">
              <w:rPr>
                <w:color w:val="auto"/>
              </w:rPr>
              <w:t>3.</w:t>
            </w:r>
          </w:p>
        </w:tc>
        <w:tc>
          <w:tcPr>
            <w:tcW w:w="2694" w:type="dxa"/>
          </w:tcPr>
          <w:p w14:paraId="24A6C32C" w14:textId="77777777" w:rsidR="00093DEF" w:rsidRPr="004A5EAF" w:rsidRDefault="00093DEF" w:rsidP="004E2D41">
            <w:pPr>
              <w:rPr>
                <w:color w:val="auto"/>
              </w:rPr>
            </w:pPr>
            <w:r w:rsidRPr="004A5EAF">
              <w:rPr>
                <w:color w:val="auto"/>
              </w:rPr>
              <w:t>Administratīvo izmaksu monetārs novērtējums</w:t>
            </w:r>
          </w:p>
        </w:tc>
        <w:tc>
          <w:tcPr>
            <w:tcW w:w="7091" w:type="dxa"/>
          </w:tcPr>
          <w:p w14:paraId="2C9A436E" w14:textId="77777777" w:rsidR="00093DEF" w:rsidRPr="004A5EAF" w:rsidRDefault="009813D1" w:rsidP="004E2D41">
            <w:pPr>
              <w:pStyle w:val="naiskr"/>
              <w:spacing w:before="0" w:after="0"/>
              <w:ind w:right="119"/>
              <w:jc w:val="both"/>
            </w:pPr>
            <w:r w:rsidRPr="004A5EAF">
              <w:t xml:space="preserve">   </w:t>
            </w:r>
            <w:r w:rsidR="00093DEF" w:rsidRPr="004A5EAF">
              <w:t>Aprēķinos izmantoti šādi pieņēmumi:</w:t>
            </w:r>
          </w:p>
          <w:p w14:paraId="3519A1A3" w14:textId="77777777" w:rsidR="00093DEF" w:rsidRPr="004A5EAF" w:rsidRDefault="00093DEF" w:rsidP="004E2D41">
            <w:pPr>
              <w:pStyle w:val="naiskr"/>
              <w:tabs>
                <w:tab w:val="left" w:pos="255"/>
              </w:tabs>
              <w:spacing w:before="0" w:after="0"/>
              <w:ind w:right="119"/>
              <w:jc w:val="both"/>
            </w:pPr>
            <w:r w:rsidRPr="004A5EAF">
              <w:t>•</w:t>
            </w:r>
            <w:r w:rsidRPr="004A5EAF">
              <w:tab/>
              <w:t xml:space="preserve">vidējā darba alga – </w:t>
            </w:r>
            <w:r w:rsidR="0050762B" w:rsidRPr="004A5EAF">
              <w:t>(6</w:t>
            </w:r>
            <w:r w:rsidRPr="004A5EAF">
              <w:t xml:space="preserve">,20 </w:t>
            </w:r>
            <w:r w:rsidRPr="004A5EAF">
              <w:rPr>
                <w:i/>
              </w:rPr>
              <w:t>euro</w:t>
            </w:r>
            <w:r w:rsidRPr="004A5EAF">
              <w:t xml:space="preserve"> stundā);</w:t>
            </w:r>
          </w:p>
          <w:p w14:paraId="335AB96A" w14:textId="77777777" w:rsidR="00093DEF" w:rsidRPr="004A5EAF" w:rsidRDefault="00093DEF" w:rsidP="004E2D41">
            <w:pPr>
              <w:pStyle w:val="naiskr"/>
              <w:tabs>
                <w:tab w:val="left" w:pos="255"/>
              </w:tabs>
              <w:spacing w:before="0" w:after="0"/>
              <w:ind w:right="119"/>
              <w:jc w:val="both"/>
            </w:pPr>
            <w:r w:rsidRPr="004A5EAF">
              <w:t>•</w:t>
            </w:r>
            <w:r w:rsidRPr="004A5EAF">
              <w:tab/>
              <w:t>patērētais laiks, kas nepieciešams iesnieguma iesniegšanai;</w:t>
            </w:r>
          </w:p>
          <w:p w14:paraId="3A87F11F" w14:textId="77777777" w:rsidR="00093DEF" w:rsidRPr="004A5EAF" w:rsidRDefault="00093DEF" w:rsidP="004E2D41">
            <w:pPr>
              <w:pStyle w:val="naiskr"/>
              <w:tabs>
                <w:tab w:val="left" w:pos="255"/>
              </w:tabs>
              <w:spacing w:before="0" w:after="0"/>
              <w:ind w:right="119"/>
              <w:jc w:val="both"/>
            </w:pPr>
            <w:r w:rsidRPr="004A5EAF">
              <w:t>•</w:t>
            </w:r>
            <w:r w:rsidRPr="004A5EAF">
              <w:tab/>
              <w:t>plānotais informācijas iesniedzēju skaits</w:t>
            </w:r>
            <w:r w:rsidR="00C12466" w:rsidRPr="004A5EAF">
              <w:t xml:space="preserve"> gadā </w:t>
            </w:r>
            <w:r w:rsidRPr="004A5EAF">
              <w:t xml:space="preserve"> – </w:t>
            </w:r>
            <w:r w:rsidR="00C12466" w:rsidRPr="004A5EAF">
              <w:t>82</w:t>
            </w:r>
            <w:r w:rsidRPr="004A5EAF">
              <w:t>;</w:t>
            </w:r>
          </w:p>
          <w:p w14:paraId="0C3A1565" w14:textId="722EE323" w:rsidR="009813D1" w:rsidRPr="004A5EAF" w:rsidRDefault="00093DEF" w:rsidP="004E2D41">
            <w:pPr>
              <w:pStyle w:val="naiskr"/>
              <w:tabs>
                <w:tab w:val="left" w:pos="255"/>
              </w:tabs>
              <w:spacing w:before="0" w:after="0"/>
              <w:jc w:val="both"/>
            </w:pPr>
            <w:r w:rsidRPr="004A5EAF">
              <w:t>•</w:t>
            </w:r>
            <w:r w:rsidRPr="004A5EAF">
              <w:tab/>
              <w:t>informācijas sniegšanas biežums</w:t>
            </w:r>
            <w:r w:rsidR="003F63DE" w:rsidRPr="004A5EAF">
              <w:t>,</w:t>
            </w:r>
            <w:r w:rsidRPr="004A5EAF">
              <w:t xml:space="preserve"> saņemot </w:t>
            </w:r>
            <w:r w:rsidR="004E2D41" w:rsidRPr="004A5EAF">
              <w:t>s</w:t>
            </w:r>
            <w:r w:rsidRPr="004A5EAF">
              <w:t>ertifikātu – 1</w:t>
            </w:r>
            <w:r w:rsidR="001B57EE" w:rsidRPr="004A5EAF">
              <w:t>.</w:t>
            </w:r>
          </w:p>
          <w:p w14:paraId="1E909A6A" w14:textId="77777777" w:rsidR="001B57EE" w:rsidRPr="004A5EAF" w:rsidRDefault="001B57EE" w:rsidP="004E2D41">
            <w:pPr>
              <w:pStyle w:val="naiskr"/>
              <w:tabs>
                <w:tab w:val="left" w:pos="255"/>
              </w:tabs>
              <w:spacing w:before="0" w:after="0"/>
              <w:jc w:val="both"/>
            </w:pPr>
          </w:p>
          <w:p w14:paraId="2B538315" w14:textId="77777777" w:rsidR="00093DEF" w:rsidRPr="004A5EAF" w:rsidRDefault="009813D1" w:rsidP="004E2D41">
            <w:pPr>
              <w:pStyle w:val="naiskr"/>
              <w:tabs>
                <w:tab w:val="left" w:pos="255"/>
              </w:tabs>
              <w:spacing w:before="0" w:after="0"/>
              <w:jc w:val="both"/>
            </w:pPr>
            <w:r w:rsidRPr="004A5EAF">
              <w:t xml:space="preserve">   </w:t>
            </w:r>
            <w:r w:rsidR="00093DEF" w:rsidRPr="004A5EAF">
              <w:t>Aprēķinam izmantota šāda formula:</w:t>
            </w:r>
          </w:p>
          <w:p w14:paraId="3DD889BB" w14:textId="77777777" w:rsidR="00093DEF" w:rsidRPr="004A5EAF" w:rsidRDefault="00093DEF" w:rsidP="004E2D41">
            <w:pPr>
              <w:pStyle w:val="naiskr"/>
              <w:tabs>
                <w:tab w:val="left" w:pos="255"/>
              </w:tabs>
              <w:spacing w:before="0" w:after="0"/>
              <w:ind w:right="119"/>
              <w:jc w:val="both"/>
            </w:pPr>
            <w:r w:rsidRPr="004A5EAF">
              <w:t>C = (f x l) x (n x b), kur</w:t>
            </w:r>
          </w:p>
          <w:p w14:paraId="3728A140" w14:textId="77777777" w:rsidR="00093DEF" w:rsidRPr="004A5EAF" w:rsidRDefault="00093DEF" w:rsidP="004E2D41">
            <w:pPr>
              <w:pStyle w:val="naiskr"/>
              <w:tabs>
                <w:tab w:val="left" w:pos="255"/>
              </w:tabs>
              <w:spacing w:before="0" w:after="0"/>
              <w:ind w:right="119"/>
              <w:jc w:val="both"/>
            </w:pPr>
            <w:r w:rsidRPr="004A5EAF">
              <w:t>C – informāciju sniegšanas pienākumu radītās izmaksas jeb administratīvais slogs instruktoriem;</w:t>
            </w:r>
          </w:p>
          <w:p w14:paraId="2CBEF7AE" w14:textId="0951DCE4" w:rsidR="00093DEF" w:rsidRPr="004A5EAF" w:rsidRDefault="00093DEF" w:rsidP="004E2D41">
            <w:pPr>
              <w:pStyle w:val="naiskr"/>
              <w:tabs>
                <w:tab w:val="left" w:pos="255"/>
              </w:tabs>
              <w:spacing w:before="0" w:after="0"/>
              <w:ind w:right="119"/>
              <w:jc w:val="both"/>
            </w:pPr>
            <w:r w:rsidRPr="004A5EAF">
              <w:t xml:space="preserve">f – finanšu līdzekļu apmērs, kas nepieciešams, lai nodrošinātu </w:t>
            </w:r>
            <w:r w:rsidR="0021510C" w:rsidRPr="004A5EAF">
              <w:t>noteikumu projektā</w:t>
            </w:r>
            <w:r w:rsidRPr="004A5EAF">
              <w:t xml:space="preserve"> paredzēto informācijas sniegšanas pienākumu izpildi (stundas samaksas likme);</w:t>
            </w:r>
          </w:p>
          <w:p w14:paraId="3530A979" w14:textId="77777777" w:rsidR="00093DEF" w:rsidRPr="004A5EAF" w:rsidRDefault="00093DEF" w:rsidP="004E2D41">
            <w:pPr>
              <w:pStyle w:val="naiskr"/>
              <w:tabs>
                <w:tab w:val="left" w:pos="255"/>
              </w:tabs>
              <w:spacing w:before="0" w:after="0"/>
              <w:ind w:right="119"/>
              <w:jc w:val="both"/>
            </w:pPr>
            <w:r w:rsidRPr="004A5EAF">
              <w:lastRenderedPageBreak/>
              <w:t>l – laika patēriņš, kas nepieciešams, lai sagatavotu un iesniegtu informāciju (informācijas sagatavošana, veidlapas aizpildīšana un nosūtīšana varētu aizņemt 45 minūtes);</w:t>
            </w:r>
          </w:p>
          <w:p w14:paraId="26E269F0" w14:textId="2493BCE5" w:rsidR="00093DEF" w:rsidRPr="004A5EAF" w:rsidRDefault="00093DEF" w:rsidP="004E2D41">
            <w:pPr>
              <w:pStyle w:val="naiskr"/>
              <w:tabs>
                <w:tab w:val="left" w:pos="255"/>
              </w:tabs>
              <w:spacing w:before="0" w:after="0"/>
              <w:ind w:right="119"/>
              <w:jc w:val="both"/>
            </w:pPr>
            <w:r w:rsidRPr="004A5EAF">
              <w:t xml:space="preserve">n – to instruktoru skaits, uz kuriem attieksies </w:t>
            </w:r>
            <w:r w:rsidR="007B378B" w:rsidRPr="004A5EAF">
              <w:t>noteikumu projektā</w:t>
            </w:r>
            <w:r w:rsidRPr="004A5EAF">
              <w:t xml:space="preserve"> paredzētie informācijas sniegšanas pasākumi;</w:t>
            </w:r>
          </w:p>
          <w:p w14:paraId="5706F401" w14:textId="052FEFB1" w:rsidR="009813D1" w:rsidRPr="004A5EAF" w:rsidRDefault="00093DEF" w:rsidP="004E2D41">
            <w:pPr>
              <w:pStyle w:val="naiskr"/>
              <w:tabs>
                <w:tab w:val="left" w:pos="255"/>
              </w:tabs>
              <w:spacing w:before="0" w:after="0"/>
              <w:ind w:right="119"/>
              <w:jc w:val="both"/>
            </w:pPr>
            <w:r w:rsidRPr="004A5EAF">
              <w:t xml:space="preserve">b – cik bieži </w:t>
            </w:r>
            <w:r w:rsidR="006E671D" w:rsidRPr="004A5EAF">
              <w:t>gada laikā noteikumu projekts</w:t>
            </w:r>
            <w:r w:rsidR="00E3012C" w:rsidRPr="004A5EAF">
              <w:t xml:space="preserve"> </w:t>
            </w:r>
            <w:r w:rsidRPr="004A5EAF">
              <w:t>paredz pienākumu sniegt informāciju.</w:t>
            </w:r>
          </w:p>
          <w:p w14:paraId="40CB9FB5" w14:textId="77777777" w:rsidR="00093DEF" w:rsidRPr="004A5EAF" w:rsidRDefault="009813D1" w:rsidP="004E2D41">
            <w:pPr>
              <w:pStyle w:val="naiskr"/>
              <w:tabs>
                <w:tab w:val="left" w:pos="255"/>
              </w:tabs>
              <w:spacing w:before="0" w:after="0"/>
              <w:ind w:right="119"/>
              <w:jc w:val="both"/>
            </w:pPr>
            <w:r w:rsidRPr="004A5EAF">
              <w:t xml:space="preserve">   </w:t>
            </w:r>
            <w:r w:rsidR="00093DEF" w:rsidRPr="004A5EAF">
              <w:t>Informācijas sniegšanas pienākumu radītās izmaksas (vidējais) jeb administratīvais slogs instruktoriem aprēķināms šādi:</w:t>
            </w:r>
          </w:p>
          <w:p w14:paraId="5EBAB852" w14:textId="77777777" w:rsidR="009813D1" w:rsidRPr="004A5EAF" w:rsidRDefault="00093DEF" w:rsidP="004E2D41">
            <w:pPr>
              <w:pStyle w:val="naiskr"/>
              <w:tabs>
                <w:tab w:val="left" w:pos="255"/>
              </w:tabs>
              <w:spacing w:before="0" w:after="0"/>
              <w:ind w:right="119"/>
              <w:jc w:val="both"/>
            </w:pPr>
            <w:r w:rsidRPr="004A5EAF">
              <w:t xml:space="preserve">C = </w:t>
            </w:r>
            <w:r w:rsidR="00C12466" w:rsidRPr="004A5EAF">
              <w:t>6</w:t>
            </w:r>
            <w:r w:rsidRPr="004A5EAF">
              <w:t>,20 x 0,75 x (</w:t>
            </w:r>
            <w:r w:rsidR="00C12466" w:rsidRPr="004A5EAF">
              <w:t>82</w:t>
            </w:r>
            <w:r w:rsidRPr="004A5EAF">
              <w:t xml:space="preserve"> x 1) = </w:t>
            </w:r>
            <w:r w:rsidR="00C12466" w:rsidRPr="004A5EAF">
              <w:t>38</w:t>
            </w:r>
            <w:r w:rsidRPr="004A5EAF">
              <w:t>1,</w:t>
            </w:r>
            <w:r w:rsidR="00C12466" w:rsidRPr="004A5EAF">
              <w:t>3</w:t>
            </w:r>
            <w:r w:rsidRPr="004A5EAF">
              <w:t>0</w:t>
            </w:r>
            <w:r w:rsidR="00813F8D" w:rsidRPr="004A5EAF">
              <w:t xml:space="preserve"> </w:t>
            </w:r>
            <w:r w:rsidR="00813F8D" w:rsidRPr="004A5EAF">
              <w:rPr>
                <w:i/>
                <w:iCs/>
              </w:rPr>
              <w:t>euro</w:t>
            </w:r>
            <w:r w:rsidR="00813F8D" w:rsidRPr="004A5EAF">
              <w:t>.</w:t>
            </w:r>
          </w:p>
          <w:p w14:paraId="3C3E0C43" w14:textId="77777777" w:rsidR="009813D1" w:rsidRPr="004A5EAF" w:rsidRDefault="009813D1" w:rsidP="004E2D41">
            <w:pPr>
              <w:pStyle w:val="naiskr"/>
              <w:tabs>
                <w:tab w:val="left" w:pos="255"/>
              </w:tabs>
              <w:spacing w:before="0" w:after="0"/>
              <w:ind w:right="119"/>
              <w:jc w:val="both"/>
            </w:pPr>
            <w:r w:rsidRPr="004A5EAF">
              <w:t xml:space="preserve">   </w:t>
            </w:r>
            <w:r w:rsidR="00093DEF" w:rsidRPr="004A5EAF">
              <w:t>Administratīvais slogs instruktoram ir minimāls, jo, ievērojot LSFP kompetenci instruktoru sertifikācijā, jebkurai personai, kura strādā sporta jomā, darba ietvaros ir nepieciešama sadarbība (saziņa) ar attiecīgajā sporta veidā atzīto sporta federāciju un LSFP.</w:t>
            </w:r>
          </w:p>
          <w:p w14:paraId="00FB8339" w14:textId="77777777" w:rsidR="00247BAA" w:rsidRPr="004A5EAF" w:rsidRDefault="009813D1" w:rsidP="004E2D41">
            <w:pPr>
              <w:pStyle w:val="naiskr"/>
              <w:tabs>
                <w:tab w:val="left" w:pos="255"/>
              </w:tabs>
              <w:spacing w:before="0" w:after="0"/>
              <w:ind w:right="119"/>
              <w:jc w:val="both"/>
            </w:pPr>
            <w:r w:rsidRPr="004A5EAF">
              <w:t xml:space="preserve">   </w:t>
            </w:r>
          </w:p>
          <w:p w14:paraId="33694473" w14:textId="4D74E39F" w:rsidR="00093DEF" w:rsidRPr="004A5EAF" w:rsidRDefault="00247BAA" w:rsidP="004E2D41">
            <w:pPr>
              <w:pStyle w:val="naiskr"/>
              <w:tabs>
                <w:tab w:val="left" w:pos="255"/>
              </w:tabs>
              <w:spacing w:before="0" w:after="0"/>
              <w:ind w:right="119"/>
              <w:jc w:val="both"/>
            </w:pPr>
            <w:r w:rsidRPr="004A5EAF">
              <w:t xml:space="preserve">   </w:t>
            </w:r>
            <w:r w:rsidR="00093DEF" w:rsidRPr="004A5EAF">
              <w:t>Aprēķinam izmantota šāda formula:</w:t>
            </w:r>
          </w:p>
          <w:p w14:paraId="6873CF02" w14:textId="77777777" w:rsidR="00093DEF" w:rsidRPr="004A5EAF" w:rsidRDefault="00093DEF" w:rsidP="004E2D41">
            <w:pPr>
              <w:pStyle w:val="naiskr"/>
              <w:tabs>
                <w:tab w:val="left" w:pos="255"/>
              </w:tabs>
              <w:spacing w:before="0" w:after="0"/>
              <w:ind w:right="119"/>
              <w:jc w:val="both"/>
            </w:pPr>
            <w:r w:rsidRPr="004A5EAF">
              <w:t>C = (f x l) x (n x b), kur</w:t>
            </w:r>
          </w:p>
          <w:p w14:paraId="3DD97AC2" w14:textId="1BF86072" w:rsidR="00093DEF" w:rsidRPr="004A5EAF" w:rsidRDefault="00093DEF" w:rsidP="004E2D41">
            <w:pPr>
              <w:pStyle w:val="naiskr"/>
              <w:tabs>
                <w:tab w:val="left" w:pos="255"/>
              </w:tabs>
              <w:spacing w:before="0" w:after="0"/>
              <w:ind w:right="119"/>
              <w:jc w:val="both"/>
            </w:pPr>
            <w:r w:rsidRPr="004A5EAF">
              <w:t xml:space="preserve">C – informācijas iekļaušanas </w:t>
            </w:r>
            <w:r w:rsidR="00AB428E" w:rsidRPr="004A5EAF">
              <w:t xml:space="preserve">Licenču un sertifikātu </w:t>
            </w:r>
            <w:r w:rsidRPr="004A5EAF">
              <w:t>reģistrā pienākuma radītās izmaksas jeb administratīvais slogs LSFP;</w:t>
            </w:r>
          </w:p>
          <w:p w14:paraId="5B47480E" w14:textId="6F654E2D" w:rsidR="00093DEF" w:rsidRPr="004A5EAF" w:rsidRDefault="00093DEF" w:rsidP="004E2D41">
            <w:pPr>
              <w:pStyle w:val="naiskr"/>
              <w:tabs>
                <w:tab w:val="left" w:pos="255"/>
              </w:tabs>
              <w:spacing w:before="0" w:after="0"/>
              <w:ind w:right="119"/>
              <w:jc w:val="both"/>
            </w:pPr>
            <w:r w:rsidRPr="004A5EAF">
              <w:t xml:space="preserve">f – finanšu līdzekļu apmērs, kas nepieciešams, lai nodrošinātu </w:t>
            </w:r>
            <w:r w:rsidR="00345311" w:rsidRPr="004A5EAF">
              <w:t>noteikumu projektā</w:t>
            </w:r>
            <w:r w:rsidRPr="004A5EAF">
              <w:t xml:space="preserve"> paredzēto informācijas iekļaušanu </w:t>
            </w:r>
            <w:r w:rsidR="00E56C5B" w:rsidRPr="004A5EAF">
              <w:t>Licenču un sertifikātu</w:t>
            </w:r>
            <w:r w:rsidRPr="004A5EAF">
              <w:t xml:space="preserve"> reģistrā (vidējā stundas samaksas likme);</w:t>
            </w:r>
          </w:p>
          <w:p w14:paraId="58A42A49" w14:textId="73072067" w:rsidR="00093DEF" w:rsidRPr="004A5EAF" w:rsidRDefault="00093DEF" w:rsidP="004E2D41">
            <w:pPr>
              <w:pStyle w:val="naiskr"/>
              <w:tabs>
                <w:tab w:val="left" w:pos="255"/>
              </w:tabs>
              <w:spacing w:before="0" w:after="0"/>
              <w:ind w:right="119"/>
              <w:jc w:val="both"/>
            </w:pPr>
            <w:r w:rsidRPr="004A5EAF">
              <w:t xml:space="preserve">l – laika patēriņš, kas nepieciešams, lai nodrošinātu informācijas iekļaušanu </w:t>
            </w:r>
            <w:r w:rsidR="00AB428E" w:rsidRPr="004A5EAF">
              <w:t xml:space="preserve">Licenču un sertifikātu </w:t>
            </w:r>
            <w:r w:rsidRPr="004A5EAF">
              <w:t>reģistrā (</w:t>
            </w:r>
            <w:r w:rsidR="00E56C5B" w:rsidRPr="004A5EAF">
              <w:t xml:space="preserve">iesniegumu </w:t>
            </w:r>
            <w:r w:rsidRPr="004A5EAF">
              <w:t xml:space="preserve">informācijas ievadīšana </w:t>
            </w:r>
            <w:r w:rsidR="00C203D7" w:rsidRPr="004A5EAF">
              <w:t>reģistrā v</w:t>
            </w:r>
            <w:r w:rsidRPr="004A5EAF">
              <w:t>arētu aizņemt 8 minūtes);</w:t>
            </w:r>
          </w:p>
          <w:p w14:paraId="2CF70D42" w14:textId="73730115" w:rsidR="00093DEF" w:rsidRPr="004A5EAF" w:rsidRDefault="00093DEF" w:rsidP="004E2D41">
            <w:pPr>
              <w:pStyle w:val="naiskr"/>
              <w:tabs>
                <w:tab w:val="left" w:pos="255"/>
              </w:tabs>
              <w:spacing w:before="0" w:after="0"/>
              <w:ind w:right="119"/>
              <w:jc w:val="both"/>
            </w:pPr>
            <w:r w:rsidRPr="004A5EAF">
              <w:t xml:space="preserve">n – to instruktoru skaits, uz kuriem attieksies </w:t>
            </w:r>
            <w:r w:rsidR="00345311" w:rsidRPr="004A5EAF">
              <w:t>noteikumu projektā</w:t>
            </w:r>
            <w:r w:rsidRPr="004A5EAF">
              <w:t xml:space="preserve"> paredzētie informācijas iekļaušanas </w:t>
            </w:r>
            <w:r w:rsidR="00E56C5B" w:rsidRPr="004A5EAF">
              <w:t>Licenču un sertifikātu</w:t>
            </w:r>
            <w:r w:rsidRPr="004A5EAF">
              <w:t xml:space="preserve"> reģistrā pasākumi;</w:t>
            </w:r>
          </w:p>
          <w:p w14:paraId="1CC4758B" w14:textId="269737C0" w:rsidR="009813D1" w:rsidRPr="004A5EAF" w:rsidRDefault="00093DEF" w:rsidP="004E2D41">
            <w:pPr>
              <w:pStyle w:val="naiskr"/>
              <w:tabs>
                <w:tab w:val="left" w:pos="255"/>
              </w:tabs>
              <w:spacing w:before="0" w:after="0"/>
              <w:ind w:right="119"/>
              <w:jc w:val="both"/>
            </w:pPr>
            <w:r w:rsidRPr="004A5EAF">
              <w:t xml:space="preserve">b – cik bieži viena gada laikā </w:t>
            </w:r>
            <w:r w:rsidR="00345311" w:rsidRPr="004A5EAF">
              <w:t>noteikumu projekts</w:t>
            </w:r>
            <w:r w:rsidRPr="004A5EAF">
              <w:t xml:space="preserve"> paredz pienākumu iekļaut informāciju</w:t>
            </w:r>
            <w:r w:rsidR="00C203D7" w:rsidRPr="004A5EAF">
              <w:t xml:space="preserve"> Licenču un sertifikātu reģistrā</w:t>
            </w:r>
            <w:r w:rsidRPr="004A5EAF">
              <w:t>;</w:t>
            </w:r>
          </w:p>
          <w:p w14:paraId="37DE23CC" w14:textId="1DFD719A" w:rsidR="00093DEF" w:rsidRPr="004A5EAF" w:rsidRDefault="009813D1" w:rsidP="004E2D41">
            <w:pPr>
              <w:pStyle w:val="naiskr"/>
              <w:tabs>
                <w:tab w:val="left" w:pos="255"/>
              </w:tabs>
              <w:spacing w:before="0" w:after="0"/>
              <w:ind w:right="119"/>
              <w:jc w:val="both"/>
            </w:pPr>
            <w:r w:rsidRPr="004A5EAF">
              <w:t xml:space="preserve">   </w:t>
            </w:r>
            <w:r w:rsidR="00093DEF" w:rsidRPr="004A5EAF">
              <w:t xml:space="preserve">Informācijas iekļaušanas </w:t>
            </w:r>
            <w:r w:rsidR="00E56C5B" w:rsidRPr="004A5EAF">
              <w:t>Licenču un sertifikātu</w:t>
            </w:r>
            <w:r w:rsidR="00093DEF" w:rsidRPr="004A5EAF">
              <w:t xml:space="preserve"> reģistrā pienākuma radītās izmaksas jeb administratīvais </w:t>
            </w:r>
            <w:r w:rsidR="00B86098" w:rsidRPr="004A5EAF">
              <w:t xml:space="preserve">slogs </w:t>
            </w:r>
            <w:r w:rsidR="00093DEF" w:rsidRPr="004A5EAF">
              <w:t>LSFP aprēķināms šādi:</w:t>
            </w:r>
          </w:p>
          <w:p w14:paraId="60101BD4" w14:textId="77777777" w:rsidR="009813D1" w:rsidRPr="004A5EAF" w:rsidRDefault="00093DEF" w:rsidP="004E2D41">
            <w:pPr>
              <w:pStyle w:val="FootnoteText"/>
              <w:tabs>
                <w:tab w:val="left" w:pos="255"/>
              </w:tabs>
              <w:jc w:val="both"/>
            </w:pPr>
            <w:r w:rsidRPr="004A5EAF">
              <w:rPr>
                <w:sz w:val="24"/>
                <w:szCs w:val="24"/>
              </w:rPr>
              <w:t>C = 8,75 x 0,13 x (</w:t>
            </w:r>
            <w:r w:rsidR="007F4F83" w:rsidRPr="004A5EAF">
              <w:rPr>
                <w:sz w:val="24"/>
                <w:szCs w:val="24"/>
              </w:rPr>
              <w:t>82</w:t>
            </w:r>
            <w:r w:rsidRPr="004A5EAF">
              <w:rPr>
                <w:sz w:val="24"/>
                <w:szCs w:val="24"/>
              </w:rPr>
              <w:t xml:space="preserve"> x 1) = </w:t>
            </w:r>
            <w:r w:rsidR="007F4F83" w:rsidRPr="004A5EAF">
              <w:rPr>
                <w:sz w:val="24"/>
                <w:szCs w:val="24"/>
              </w:rPr>
              <w:t>93</w:t>
            </w:r>
            <w:r w:rsidRPr="004A5EAF">
              <w:rPr>
                <w:sz w:val="24"/>
                <w:szCs w:val="24"/>
              </w:rPr>
              <w:t>,</w:t>
            </w:r>
            <w:r w:rsidR="007F4F83" w:rsidRPr="004A5EAF">
              <w:rPr>
                <w:sz w:val="24"/>
                <w:szCs w:val="24"/>
              </w:rPr>
              <w:t>28</w:t>
            </w:r>
            <w:r w:rsidR="00813F8D" w:rsidRPr="004A5EAF">
              <w:rPr>
                <w:sz w:val="24"/>
                <w:szCs w:val="24"/>
              </w:rPr>
              <w:t xml:space="preserve"> </w:t>
            </w:r>
            <w:r w:rsidR="00813F8D" w:rsidRPr="004A5EAF">
              <w:rPr>
                <w:i/>
                <w:iCs/>
                <w:sz w:val="24"/>
                <w:szCs w:val="24"/>
              </w:rPr>
              <w:t>euro</w:t>
            </w:r>
            <w:r w:rsidR="00813F8D" w:rsidRPr="004A5EAF">
              <w:t>.</w:t>
            </w:r>
          </w:p>
          <w:p w14:paraId="02282AA0" w14:textId="77777777" w:rsidR="00345311" w:rsidRPr="004A5EAF" w:rsidRDefault="00345311" w:rsidP="004E2D41">
            <w:pPr>
              <w:pStyle w:val="FootnoteText"/>
              <w:tabs>
                <w:tab w:val="left" w:pos="255"/>
              </w:tabs>
              <w:jc w:val="both"/>
              <w:rPr>
                <w:sz w:val="24"/>
                <w:szCs w:val="24"/>
              </w:rPr>
            </w:pPr>
          </w:p>
          <w:p w14:paraId="6508823C" w14:textId="1C9D7462" w:rsidR="00093DEF" w:rsidRPr="004A5EAF" w:rsidRDefault="009813D1" w:rsidP="004E2D41">
            <w:pPr>
              <w:pStyle w:val="FootnoteText"/>
              <w:tabs>
                <w:tab w:val="left" w:pos="255"/>
              </w:tabs>
              <w:jc w:val="both"/>
              <w:rPr>
                <w:sz w:val="24"/>
                <w:szCs w:val="24"/>
              </w:rPr>
            </w:pPr>
            <w:r w:rsidRPr="004A5EAF">
              <w:rPr>
                <w:sz w:val="24"/>
                <w:szCs w:val="24"/>
              </w:rPr>
              <w:t xml:space="preserve">   </w:t>
            </w:r>
            <w:r w:rsidR="00093DEF" w:rsidRPr="004A5EAF">
              <w:rPr>
                <w:sz w:val="24"/>
                <w:szCs w:val="24"/>
              </w:rPr>
              <w:t xml:space="preserve">Noteikumu projekts paredz, ka sertifikācijas eksāmens, </w:t>
            </w:r>
            <w:r w:rsidR="004E2D41" w:rsidRPr="004A5EAF">
              <w:rPr>
                <w:sz w:val="24"/>
                <w:szCs w:val="24"/>
              </w:rPr>
              <w:t>s</w:t>
            </w:r>
            <w:r w:rsidR="00093DEF" w:rsidRPr="004A5EAF">
              <w:rPr>
                <w:sz w:val="24"/>
                <w:szCs w:val="24"/>
              </w:rPr>
              <w:t xml:space="preserve">ertifikāta, </w:t>
            </w:r>
            <w:r w:rsidR="004E2D41" w:rsidRPr="004A5EAF">
              <w:rPr>
                <w:sz w:val="24"/>
                <w:szCs w:val="24"/>
              </w:rPr>
              <w:t>s</w:t>
            </w:r>
            <w:r w:rsidR="00093DEF" w:rsidRPr="004A5EAF">
              <w:rPr>
                <w:sz w:val="24"/>
                <w:szCs w:val="24"/>
              </w:rPr>
              <w:t xml:space="preserve">ertifikāta dublikāta un atjaunota </w:t>
            </w:r>
            <w:r w:rsidR="004E2D41" w:rsidRPr="004A5EAF">
              <w:rPr>
                <w:sz w:val="24"/>
                <w:szCs w:val="24"/>
              </w:rPr>
              <w:t>s</w:t>
            </w:r>
            <w:r w:rsidR="00093DEF" w:rsidRPr="004A5EAF">
              <w:rPr>
                <w:sz w:val="24"/>
                <w:szCs w:val="24"/>
              </w:rPr>
              <w:t>ertifikāta izsniegšana ir maksas pakalpojums. Izdevumus par minētajiem pakalpojumiem sedz pretendents šādā apmērā:</w:t>
            </w:r>
          </w:p>
          <w:p w14:paraId="1279190F" w14:textId="4AFB0DC5" w:rsidR="00093DEF" w:rsidRPr="004A5EAF" w:rsidRDefault="00093DEF" w:rsidP="004E2D41">
            <w:pPr>
              <w:pStyle w:val="FootnoteText"/>
              <w:jc w:val="both"/>
              <w:rPr>
                <w:sz w:val="24"/>
                <w:szCs w:val="24"/>
              </w:rPr>
            </w:pPr>
            <w:r w:rsidRPr="004A5EAF">
              <w:rPr>
                <w:sz w:val="24"/>
                <w:szCs w:val="24"/>
              </w:rPr>
              <w:t xml:space="preserve">1) </w:t>
            </w:r>
            <w:r w:rsidR="004E2D41" w:rsidRPr="004A5EAF">
              <w:rPr>
                <w:sz w:val="24"/>
                <w:szCs w:val="24"/>
              </w:rPr>
              <w:t>s</w:t>
            </w:r>
            <w:r w:rsidRPr="004A5EAF">
              <w:rPr>
                <w:sz w:val="24"/>
                <w:szCs w:val="24"/>
              </w:rPr>
              <w:t xml:space="preserve">ertifikāta izsniegšana – 18 </w:t>
            </w:r>
            <w:r w:rsidRPr="004A5EAF">
              <w:rPr>
                <w:i/>
                <w:sz w:val="24"/>
                <w:szCs w:val="24"/>
              </w:rPr>
              <w:t>euro</w:t>
            </w:r>
            <w:r w:rsidRPr="004A5EAF">
              <w:rPr>
                <w:sz w:val="24"/>
                <w:szCs w:val="24"/>
              </w:rPr>
              <w:t>;</w:t>
            </w:r>
          </w:p>
          <w:p w14:paraId="4AC2FF15" w14:textId="724D001E" w:rsidR="00093DEF" w:rsidRPr="004A5EAF" w:rsidRDefault="00093DEF" w:rsidP="004E2D41">
            <w:pPr>
              <w:pStyle w:val="FootnoteText"/>
              <w:jc w:val="both"/>
              <w:rPr>
                <w:sz w:val="24"/>
                <w:szCs w:val="24"/>
              </w:rPr>
            </w:pPr>
            <w:r w:rsidRPr="004A5EAF">
              <w:rPr>
                <w:sz w:val="24"/>
                <w:szCs w:val="24"/>
              </w:rPr>
              <w:t xml:space="preserve">2) </w:t>
            </w:r>
            <w:r w:rsidR="00B86098" w:rsidRPr="004A5EAF">
              <w:rPr>
                <w:sz w:val="24"/>
                <w:szCs w:val="24"/>
              </w:rPr>
              <w:t xml:space="preserve">Atjaunota </w:t>
            </w:r>
            <w:r w:rsidR="004E2D41" w:rsidRPr="004A5EAF">
              <w:rPr>
                <w:sz w:val="24"/>
                <w:szCs w:val="24"/>
              </w:rPr>
              <w:t>s</w:t>
            </w:r>
            <w:r w:rsidRPr="004A5EAF">
              <w:rPr>
                <w:sz w:val="24"/>
                <w:szCs w:val="24"/>
              </w:rPr>
              <w:t xml:space="preserve">ertifikāta  vai </w:t>
            </w:r>
            <w:r w:rsidR="004E2D41" w:rsidRPr="004A5EAF">
              <w:rPr>
                <w:sz w:val="24"/>
                <w:szCs w:val="24"/>
              </w:rPr>
              <w:t>s</w:t>
            </w:r>
            <w:r w:rsidR="00B86098" w:rsidRPr="004A5EAF">
              <w:rPr>
                <w:sz w:val="24"/>
                <w:szCs w:val="24"/>
              </w:rPr>
              <w:t xml:space="preserve">ertifikāta </w:t>
            </w:r>
            <w:r w:rsidRPr="004A5EAF">
              <w:rPr>
                <w:sz w:val="24"/>
                <w:szCs w:val="24"/>
              </w:rPr>
              <w:t xml:space="preserve">dublikāta izsniegšana – 18 </w:t>
            </w:r>
            <w:r w:rsidRPr="004A5EAF">
              <w:rPr>
                <w:i/>
                <w:sz w:val="24"/>
                <w:szCs w:val="24"/>
              </w:rPr>
              <w:t>euro</w:t>
            </w:r>
            <w:r w:rsidRPr="004A5EAF">
              <w:rPr>
                <w:sz w:val="24"/>
                <w:szCs w:val="24"/>
              </w:rPr>
              <w:t>;</w:t>
            </w:r>
          </w:p>
          <w:p w14:paraId="35C0B008" w14:textId="4F607B4C" w:rsidR="009813D1" w:rsidRPr="004A5EAF" w:rsidRDefault="00093DEF" w:rsidP="004E2D41">
            <w:pPr>
              <w:pStyle w:val="FootnoteText"/>
              <w:jc w:val="both"/>
              <w:rPr>
                <w:sz w:val="24"/>
                <w:szCs w:val="24"/>
              </w:rPr>
            </w:pPr>
            <w:r w:rsidRPr="004A5EAF">
              <w:rPr>
                <w:sz w:val="24"/>
                <w:szCs w:val="24"/>
              </w:rPr>
              <w:t xml:space="preserve">3) sertifikācijas eksāmens  – 30 </w:t>
            </w:r>
            <w:r w:rsidRPr="004A5EAF">
              <w:rPr>
                <w:i/>
                <w:sz w:val="24"/>
                <w:szCs w:val="24"/>
              </w:rPr>
              <w:t>euro</w:t>
            </w:r>
            <w:r w:rsidR="00813F8D" w:rsidRPr="004A5EAF">
              <w:rPr>
                <w:sz w:val="24"/>
                <w:szCs w:val="24"/>
              </w:rPr>
              <w:t>.</w:t>
            </w:r>
          </w:p>
          <w:p w14:paraId="3C2DEFDC" w14:textId="53A6EA3E" w:rsidR="009813D1" w:rsidRPr="004A5EAF" w:rsidRDefault="009813D1" w:rsidP="004E2D41">
            <w:pPr>
              <w:pStyle w:val="FootnoteText"/>
              <w:jc w:val="both"/>
              <w:rPr>
                <w:bCs/>
                <w:sz w:val="24"/>
                <w:szCs w:val="24"/>
              </w:rPr>
            </w:pPr>
            <w:r w:rsidRPr="004A5EAF">
              <w:rPr>
                <w:sz w:val="24"/>
                <w:szCs w:val="24"/>
              </w:rPr>
              <w:t xml:space="preserve">   </w:t>
            </w:r>
            <w:r w:rsidR="00093DEF" w:rsidRPr="004A5EAF">
              <w:rPr>
                <w:bCs/>
                <w:sz w:val="24"/>
                <w:szCs w:val="24"/>
              </w:rPr>
              <w:t>Atbilstoši Valsts pārvaldes iekārtas likuma 43.</w:t>
            </w:r>
            <w:r w:rsidR="00093DEF" w:rsidRPr="004A5EAF">
              <w:rPr>
                <w:bCs/>
                <w:sz w:val="24"/>
                <w:szCs w:val="24"/>
                <w:vertAlign w:val="superscript"/>
              </w:rPr>
              <w:t xml:space="preserve">1 </w:t>
            </w:r>
            <w:r w:rsidR="00093DEF" w:rsidRPr="004A5EAF">
              <w:rPr>
                <w:bCs/>
                <w:sz w:val="24"/>
                <w:szCs w:val="24"/>
              </w:rPr>
              <w:t>pantam LSFP sertifikācijas pakalpojumus sniedz saimnieciskās darbības veidā par atlīdzību, kuru LSFP izmanto savas darbības nodrošināšanai un attiecīgā valsts pārvaldes uzdevuma veikšanai</w:t>
            </w:r>
            <w:r w:rsidR="00B86098" w:rsidRPr="004A5EAF">
              <w:rPr>
                <w:bCs/>
                <w:sz w:val="24"/>
                <w:szCs w:val="24"/>
              </w:rPr>
              <w:t xml:space="preserve">, ja </w:t>
            </w:r>
            <w:r w:rsidR="00B86098" w:rsidRPr="004A5EAF">
              <w:rPr>
                <w:sz w:val="24"/>
                <w:szCs w:val="24"/>
              </w:rPr>
              <w:t>normatīvajos aktos nodokļu un nodevu jomā nav noteikts citādi</w:t>
            </w:r>
            <w:r w:rsidR="00093DEF" w:rsidRPr="004A5EAF">
              <w:rPr>
                <w:bCs/>
                <w:sz w:val="24"/>
                <w:szCs w:val="24"/>
              </w:rPr>
              <w:t xml:space="preserve">. Lai apkopotu un pārbaudītu viena pretendenta iesniegtos dokumentus un sagatavotu </w:t>
            </w:r>
            <w:r w:rsidR="00093DEF" w:rsidRPr="004A5EAF">
              <w:rPr>
                <w:sz w:val="24"/>
                <w:szCs w:val="24"/>
              </w:rPr>
              <w:t xml:space="preserve"> </w:t>
            </w:r>
            <w:r w:rsidR="004E2D41" w:rsidRPr="004A5EAF">
              <w:rPr>
                <w:bCs/>
                <w:sz w:val="24"/>
                <w:szCs w:val="24"/>
              </w:rPr>
              <w:t>s</w:t>
            </w:r>
            <w:r w:rsidR="00093DEF" w:rsidRPr="004A5EAF">
              <w:rPr>
                <w:bCs/>
                <w:sz w:val="24"/>
                <w:szCs w:val="24"/>
              </w:rPr>
              <w:t xml:space="preserve">ertifikātu, </w:t>
            </w:r>
            <w:r w:rsidR="004E2D41" w:rsidRPr="004A5EAF">
              <w:rPr>
                <w:bCs/>
                <w:sz w:val="24"/>
                <w:szCs w:val="24"/>
              </w:rPr>
              <w:t>s</w:t>
            </w:r>
            <w:r w:rsidR="00093DEF" w:rsidRPr="004A5EAF">
              <w:rPr>
                <w:bCs/>
                <w:sz w:val="24"/>
                <w:szCs w:val="24"/>
              </w:rPr>
              <w:t xml:space="preserve">ertifikāta dublikātu vai atjaunotu </w:t>
            </w:r>
            <w:r w:rsidR="004E2D41" w:rsidRPr="004A5EAF">
              <w:rPr>
                <w:bCs/>
                <w:sz w:val="24"/>
                <w:szCs w:val="24"/>
              </w:rPr>
              <w:t>s</w:t>
            </w:r>
            <w:r w:rsidR="00093DEF" w:rsidRPr="004A5EAF">
              <w:rPr>
                <w:bCs/>
                <w:sz w:val="24"/>
                <w:szCs w:val="24"/>
              </w:rPr>
              <w:t>ertifikātu, pēc LSFP sniegtās informācijas ir šādas izmaksas:</w:t>
            </w:r>
          </w:p>
          <w:p w14:paraId="4957934D" w14:textId="77777777" w:rsidR="009813D1" w:rsidRPr="004A5EAF" w:rsidRDefault="009813D1" w:rsidP="004E2D41">
            <w:pPr>
              <w:pStyle w:val="FootnoteText"/>
              <w:jc w:val="both"/>
              <w:rPr>
                <w:sz w:val="24"/>
                <w:szCs w:val="24"/>
              </w:rPr>
            </w:pPr>
            <w:r w:rsidRPr="004A5EAF">
              <w:rPr>
                <w:sz w:val="24"/>
                <w:szCs w:val="24"/>
              </w:rPr>
              <w:t xml:space="preserve">   (1) </w:t>
            </w:r>
            <w:r w:rsidR="00093DEF" w:rsidRPr="004A5EAF">
              <w:rPr>
                <w:bCs/>
                <w:sz w:val="24"/>
                <w:szCs w:val="24"/>
              </w:rPr>
              <w:t xml:space="preserve">iesniegto dokumentu ekspertīze un datu pārbaude (viena cilvēka darbs pie dokumentu ekspertīzes un nepieciešamās informācijas iegūšana no citām institūcijām) – 1 cilvēks x 7,11 </w:t>
            </w:r>
            <w:r w:rsidR="00093DEF" w:rsidRPr="004A5EAF">
              <w:rPr>
                <w:bCs/>
                <w:i/>
                <w:sz w:val="24"/>
                <w:szCs w:val="24"/>
              </w:rPr>
              <w:t>euro</w:t>
            </w:r>
            <w:r w:rsidR="00093DEF" w:rsidRPr="004A5EAF">
              <w:rPr>
                <w:bCs/>
                <w:sz w:val="24"/>
                <w:szCs w:val="24"/>
              </w:rPr>
              <w:t xml:space="preserve"> = 7,11 </w:t>
            </w:r>
            <w:r w:rsidR="00093DEF" w:rsidRPr="004A5EAF">
              <w:rPr>
                <w:bCs/>
                <w:i/>
                <w:sz w:val="24"/>
                <w:szCs w:val="24"/>
              </w:rPr>
              <w:t>euro</w:t>
            </w:r>
            <w:r w:rsidR="00093DEF" w:rsidRPr="004A5EAF">
              <w:rPr>
                <w:bCs/>
                <w:sz w:val="24"/>
                <w:szCs w:val="24"/>
              </w:rPr>
              <w:t>;</w:t>
            </w:r>
          </w:p>
          <w:p w14:paraId="3FBADCA5" w14:textId="77777777" w:rsidR="009813D1" w:rsidRPr="004A5EAF" w:rsidRDefault="009813D1" w:rsidP="004E2D41">
            <w:pPr>
              <w:pStyle w:val="FootnoteText"/>
              <w:jc w:val="both"/>
              <w:rPr>
                <w:sz w:val="24"/>
                <w:szCs w:val="24"/>
              </w:rPr>
            </w:pPr>
            <w:r w:rsidRPr="004A5EAF">
              <w:rPr>
                <w:bCs/>
                <w:sz w:val="24"/>
                <w:szCs w:val="24"/>
              </w:rPr>
              <w:t xml:space="preserve">   (2) </w:t>
            </w:r>
            <w:r w:rsidR="00093DEF" w:rsidRPr="004A5EAF">
              <w:rPr>
                <w:bCs/>
                <w:sz w:val="24"/>
                <w:szCs w:val="24"/>
              </w:rPr>
              <w:t xml:space="preserve">sociālais nodoklis – 1,68 </w:t>
            </w:r>
            <w:r w:rsidR="00093DEF" w:rsidRPr="004A5EAF">
              <w:rPr>
                <w:bCs/>
                <w:i/>
                <w:sz w:val="24"/>
                <w:szCs w:val="24"/>
              </w:rPr>
              <w:t>euro</w:t>
            </w:r>
            <w:r w:rsidR="00093DEF" w:rsidRPr="004A5EAF">
              <w:rPr>
                <w:bCs/>
                <w:sz w:val="24"/>
                <w:szCs w:val="24"/>
              </w:rPr>
              <w:t>;</w:t>
            </w:r>
          </w:p>
          <w:p w14:paraId="7EAF8074" w14:textId="1897A88D" w:rsidR="009813D1" w:rsidRPr="004A5EAF" w:rsidRDefault="009813D1" w:rsidP="004E2D41">
            <w:pPr>
              <w:pStyle w:val="FootnoteText"/>
              <w:jc w:val="both"/>
              <w:rPr>
                <w:sz w:val="24"/>
                <w:szCs w:val="24"/>
              </w:rPr>
            </w:pPr>
            <w:r w:rsidRPr="004A5EAF">
              <w:rPr>
                <w:sz w:val="24"/>
                <w:szCs w:val="24"/>
              </w:rPr>
              <w:t xml:space="preserve">   (3) </w:t>
            </w:r>
            <w:r w:rsidR="004E2D41" w:rsidRPr="004A5EAF">
              <w:rPr>
                <w:bCs/>
                <w:sz w:val="24"/>
                <w:szCs w:val="24"/>
              </w:rPr>
              <w:t>s</w:t>
            </w:r>
            <w:r w:rsidR="00093DEF" w:rsidRPr="004A5EAF">
              <w:rPr>
                <w:bCs/>
                <w:sz w:val="24"/>
                <w:szCs w:val="24"/>
              </w:rPr>
              <w:t xml:space="preserve">ertifikāta izgatavošana – 4,55 </w:t>
            </w:r>
            <w:r w:rsidR="00093DEF" w:rsidRPr="004A5EAF">
              <w:rPr>
                <w:bCs/>
                <w:i/>
                <w:sz w:val="24"/>
                <w:szCs w:val="24"/>
              </w:rPr>
              <w:t>euro</w:t>
            </w:r>
            <w:r w:rsidR="00093DEF" w:rsidRPr="004A5EAF">
              <w:rPr>
                <w:bCs/>
                <w:sz w:val="24"/>
                <w:szCs w:val="24"/>
              </w:rPr>
              <w:t>;</w:t>
            </w:r>
          </w:p>
          <w:p w14:paraId="2DDFCC2A" w14:textId="77777777" w:rsidR="009813D1" w:rsidRPr="004A5EAF" w:rsidRDefault="009813D1" w:rsidP="004E2D41">
            <w:pPr>
              <w:pStyle w:val="FootnoteText"/>
              <w:jc w:val="both"/>
              <w:rPr>
                <w:sz w:val="24"/>
                <w:szCs w:val="24"/>
              </w:rPr>
            </w:pPr>
            <w:r w:rsidRPr="004A5EAF">
              <w:rPr>
                <w:sz w:val="24"/>
                <w:szCs w:val="24"/>
              </w:rPr>
              <w:lastRenderedPageBreak/>
              <w:t xml:space="preserve">   (4) </w:t>
            </w:r>
            <w:r w:rsidR="00093DEF" w:rsidRPr="004A5EAF">
              <w:rPr>
                <w:bCs/>
                <w:sz w:val="24"/>
                <w:szCs w:val="24"/>
              </w:rPr>
              <w:t>drukāšana (krāsu) – 1,14</w:t>
            </w:r>
            <w:r w:rsidR="00093DEF" w:rsidRPr="004A5EAF">
              <w:rPr>
                <w:bCs/>
                <w:i/>
                <w:sz w:val="24"/>
                <w:szCs w:val="24"/>
              </w:rPr>
              <w:t xml:space="preserve"> euro</w:t>
            </w:r>
            <w:r w:rsidR="00093DEF" w:rsidRPr="004A5EAF">
              <w:rPr>
                <w:bCs/>
                <w:sz w:val="24"/>
                <w:szCs w:val="24"/>
              </w:rPr>
              <w:t>;</w:t>
            </w:r>
          </w:p>
          <w:p w14:paraId="7DA841FE" w14:textId="77777777" w:rsidR="009813D1" w:rsidRPr="004A5EAF" w:rsidRDefault="009813D1" w:rsidP="004E2D41">
            <w:pPr>
              <w:pStyle w:val="FootnoteText"/>
              <w:jc w:val="both"/>
              <w:rPr>
                <w:sz w:val="24"/>
                <w:szCs w:val="24"/>
              </w:rPr>
            </w:pPr>
            <w:r w:rsidRPr="004A5EAF">
              <w:rPr>
                <w:sz w:val="24"/>
                <w:szCs w:val="24"/>
              </w:rPr>
              <w:t xml:space="preserve">   (5) </w:t>
            </w:r>
            <w:r w:rsidR="00093DEF" w:rsidRPr="004A5EAF">
              <w:rPr>
                <w:bCs/>
                <w:sz w:val="24"/>
                <w:szCs w:val="24"/>
              </w:rPr>
              <w:t xml:space="preserve">kancelejas un pasta izdevumi – 3,52 </w:t>
            </w:r>
            <w:r w:rsidR="00093DEF" w:rsidRPr="004A5EAF">
              <w:rPr>
                <w:bCs/>
                <w:i/>
                <w:sz w:val="24"/>
                <w:szCs w:val="24"/>
              </w:rPr>
              <w:t>euro</w:t>
            </w:r>
            <w:r w:rsidR="00093DEF" w:rsidRPr="004A5EAF">
              <w:rPr>
                <w:bCs/>
                <w:sz w:val="24"/>
                <w:szCs w:val="24"/>
              </w:rPr>
              <w:t>.</w:t>
            </w:r>
          </w:p>
          <w:p w14:paraId="3AF8AC34" w14:textId="77777777" w:rsidR="009813D1" w:rsidRPr="004A5EAF" w:rsidRDefault="009813D1" w:rsidP="004E2D41">
            <w:pPr>
              <w:pStyle w:val="FootnoteText"/>
              <w:jc w:val="both"/>
              <w:rPr>
                <w:sz w:val="24"/>
                <w:szCs w:val="24"/>
              </w:rPr>
            </w:pPr>
            <w:r w:rsidRPr="004A5EAF">
              <w:rPr>
                <w:sz w:val="24"/>
                <w:szCs w:val="24"/>
              </w:rPr>
              <w:t xml:space="preserve">   </w:t>
            </w:r>
            <w:r w:rsidR="00093DEF" w:rsidRPr="004A5EAF">
              <w:rPr>
                <w:bCs/>
                <w:sz w:val="24"/>
                <w:szCs w:val="24"/>
              </w:rPr>
              <w:t xml:space="preserve">Kopā – 18 </w:t>
            </w:r>
            <w:r w:rsidR="00093DEF" w:rsidRPr="004A5EAF">
              <w:rPr>
                <w:bCs/>
                <w:i/>
                <w:sz w:val="24"/>
                <w:szCs w:val="24"/>
              </w:rPr>
              <w:t>euro</w:t>
            </w:r>
            <w:r w:rsidR="00093DEF" w:rsidRPr="004A5EAF">
              <w:rPr>
                <w:bCs/>
                <w:sz w:val="24"/>
                <w:szCs w:val="24"/>
              </w:rPr>
              <w:t>.</w:t>
            </w:r>
          </w:p>
          <w:p w14:paraId="70F31556" w14:textId="77777777" w:rsidR="009813D1" w:rsidRPr="004A5EAF" w:rsidRDefault="009813D1" w:rsidP="004E2D41">
            <w:pPr>
              <w:pStyle w:val="FootnoteText"/>
              <w:jc w:val="both"/>
              <w:rPr>
                <w:sz w:val="24"/>
                <w:szCs w:val="24"/>
              </w:rPr>
            </w:pPr>
          </w:p>
          <w:p w14:paraId="38868B44" w14:textId="33622DDE" w:rsidR="009813D1" w:rsidRPr="004A5EAF" w:rsidRDefault="009813D1" w:rsidP="004E2D41">
            <w:pPr>
              <w:pStyle w:val="FootnoteText"/>
              <w:jc w:val="both"/>
              <w:rPr>
                <w:sz w:val="24"/>
                <w:szCs w:val="24"/>
              </w:rPr>
            </w:pPr>
            <w:r w:rsidRPr="004A5EAF">
              <w:rPr>
                <w:sz w:val="24"/>
                <w:szCs w:val="24"/>
              </w:rPr>
              <w:t xml:space="preserve">   </w:t>
            </w:r>
            <w:r w:rsidR="00093DEF" w:rsidRPr="004A5EAF">
              <w:rPr>
                <w:bCs/>
                <w:sz w:val="24"/>
                <w:szCs w:val="24"/>
              </w:rPr>
              <w:t xml:space="preserve">Lai nodrošinātu </w:t>
            </w:r>
            <w:r w:rsidR="00053FBD" w:rsidRPr="004A5EAF">
              <w:rPr>
                <w:bCs/>
                <w:sz w:val="24"/>
                <w:szCs w:val="24"/>
              </w:rPr>
              <w:t xml:space="preserve">sertifikācijas </w:t>
            </w:r>
            <w:r w:rsidR="00093DEF" w:rsidRPr="004A5EAF">
              <w:rPr>
                <w:bCs/>
                <w:sz w:val="24"/>
                <w:szCs w:val="24"/>
              </w:rPr>
              <w:t>eksāmena norisi, pēc LSFP sniegtās informācijas ir šādas izmaksas:</w:t>
            </w:r>
          </w:p>
          <w:p w14:paraId="1C996F78" w14:textId="123A580C" w:rsidR="009813D1" w:rsidRPr="004A5EAF" w:rsidRDefault="009813D1" w:rsidP="004E2D41">
            <w:pPr>
              <w:pStyle w:val="FootnoteText"/>
              <w:jc w:val="both"/>
              <w:rPr>
                <w:sz w:val="24"/>
                <w:szCs w:val="24"/>
              </w:rPr>
            </w:pPr>
            <w:r w:rsidRPr="004A5EAF">
              <w:rPr>
                <w:sz w:val="24"/>
                <w:szCs w:val="24"/>
              </w:rPr>
              <w:t xml:space="preserve">   (1) </w:t>
            </w:r>
            <w:r w:rsidR="00053FBD" w:rsidRPr="004A5EAF">
              <w:rPr>
                <w:sz w:val="24"/>
                <w:szCs w:val="24"/>
              </w:rPr>
              <w:t xml:space="preserve">sertifikācijas </w:t>
            </w:r>
            <w:r w:rsidR="00093DEF" w:rsidRPr="004A5EAF">
              <w:rPr>
                <w:bCs/>
                <w:sz w:val="24"/>
                <w:szCs w:val="24"/>
              </w:rPr>
              <w:t xml:space="preserve">eksāmenu </w:t>
            </w:r>
            <w:r w:rsidR="0009618F" w:rsidRPr="004A5EAF">
              <w:rPr>
                <w:bCs/>
                <w:sz w:val="24"/>
                <w:szCs w:val="24"/>
              </w:rPr>
              <w:t xml:space="preserve">un </w:t>
            </w:r>
            <w:r w:rsidR="00093DEF" w:rsidRPr="004A5EAF">
              <w:rPr>
                <w:bCs/>
                <w:sz w:val="24"/>
                <w:szCs w:val="24"/>
              </w:rPr>
              <w:t>komisijas darba apmaksa –  21,34</w:t>
            </w:r>
            <w:r w:rsidR="00053FBD" w:rsidRPr="004A5EAF">
              <w:rPr>
                <w:bCs/>
                <w:sz w:val="24"/>
                <w:szCs w:val="24"/>
              </w:rPr>
              <w:t> </w:t>
            </w:r>
            <w:r w:rsidR="00093DEF" w:rsidRPr="004A5EAF">
              <w:rPr>
                <w:bCs/>
                <w:i/>
                <w:sz w:val="24"/>
                <w:szCs w:val="24"/>
              </w:rPr>
              <w:t>euro</w:t>
            </w:r>
            <w:r w:rsidR="00093DEF" w:rsidRPr="004A5EAF">
              <w:rPr>
                <w:bCs/>
                <w:sz w:val="24"/>
                <w:szCs w:val="24"/>
              </w:rPr>
              <w:t>;</w:t>
            </w:r>
          </w:p>
          <w:p w14:paraId="4556182C" w14:textId="77777777" w:rsidR="009813D1" w:rsidRPr="004A5EAF" w:rsidRDefault="009813D1" w:rsidP="004E2D41">
            <w:pPr>
              <w:pStyle w:val="FootnoteText"/>
              <w:jc w:val="both"/>
              <w:rPr>
                <w:sz w:val="24"/>
                <w:szCs w:val="24"/>
              </w:rPr>
            </w:pPr>
            <w:r w:rsidRPr="004A5EAF">
              <w:rPr>
                <w:bCs/>
                <w:sz w:val="24"/>
                <w:szCs w:val="24"/>
              </w:rPr>
              <w:t xml:space="preserve">   (2) </w:t>
            </w:r>
            <w:r w:rsidR="00093DEF" w:rsidRPr="004A5EAF">
              <w:rPr>
                <w:bCs/>
                <w:sz w:val="24"/>
                <w:szCs w:val="24"/>
              </w:rPr>
              <w:t xml:space="preserve">sociālais nodoklis  – 5,03 </w:t>
            </w:r>
            <w:r w:rsidR="00093DEF" w:rsidRPr="004A5EAF">
              <w:rPr>
                <w:bCs/>
                <w:i/>
                <w:sz w:val="24"/>
                <w:szCs w:val="24"/>
              </w:rPr>
              <w:t>euro</w:t>
            </w:r>
            <w:r w:rsidR="00093DEF" w:rsidRPr="004A5EAF">
              <w:rPr>
                <w:bCs/>
                <w:sz w:val="24"/>
                <w:szCs w:val="24"/>
              </w:rPr>
              <w:t>;</w:t>
            </w:r>
          </w:p>
          <w:p w14:paraId="12EA3810" w14:textId="77777777" w:rsidR="009813D1" w:rsidRPr="004A5EAF" w:rsidRDefault="009813D1" w:rsidP="004E2D41">
            <w:pPr>
              <w:pStyle w:val="FootnoteText"/>
              <w:jc w:val="both"/>
              <w:rPr>
                <w:sz w:val="24"/>
                <w:szCs w:val="24"/>
              </w:rPr>
            </w:pPr>
            <w:r w:rsidRPr="004A5EAF">
              <w:rPr>
                <w:sz w:val="24"/>
                <w:szCs w:val="24"/>
              </w:rPr>
              <w:t xml:space="preserve">   (3) </w:t>
            </w:r>
            <w:r w:rsidR="00093DEF" w:rsidRPr="004A5EAF">
              <w:rPr>
                <w:bCs/>
                <w:sz w:val="24"/>
                <w:szCs w:val="24"/>
              </w:rPr>
              <w:t xml:space="preserve">kancelejas izdevumi – 3,63 </w:t>
            </w:r>
            <w:r w:rsidR="00093DEF" w:rsidRPr="004A5EAF">
              <w:rPr>
                <w:bCs/>
                <w:i/>
                <w:sz w:val="24"/>
                <w:szCs w:val="24"/>
              </w:rPr>
              <w:t>euro</w:t>
            </w:r>
            <w:r w:rsidR="00093DEF" w:rsidRPr="004A5EAF">
              <w:rPr>
                <w:bCs/>
                <w:sz w:val="24"/>
                <w:szCs w:val="24"/>
              </w:rPr>
              <w:t>.</w:t>
            </w:r>
          </w:p>
          <w:p w14:paraId="3E757CC1" w14:textId="77777777" w:rsidR="009813D1" w:rsidRPr="004A5EAF" w:rsidRDefault="009813D1" w:rsidP="004E2D41">
            <w:pPr>
              <w:pStyle w:val="FootnoteText"/>
              <w:jc w:val="both"/>
              <w:rPr>
                <w:sz w:val="24"/>
                <w:szCs w:val="24"/>
              </w:rPr>
            </w:pPr>
            <w:r w:rsidRPr="004A5EAF">
              <w:rPr>
                <w:sz w:val="24"/>
                <w:szCs w:val="24"/>
              </w:rPr>
              <w:t xml:space="preserve">   </w:t>
            </w:r>
            <w:r w:rsidR="00093DEF" w:rsidRPr="004A5EAF">
              <w:rPr>
                <w:bCs/>
                <w:sz w:val="24"/>
                <w:szCs w:val="24"/>
              </w:rPr>
              <w:t xml:space="preserve">Kopā – 30 </w:t>
            </w:r>
            <w:r w:rsidR="00093DEF" w:rsidRPr="004A5EAF">
              <w:rPr>
                <w:bCs/>
                <w:i/>
                <w:sz w:val="24"/>
                <w:szCs w:val="24"/>
              </w:rPr>
              <w:t>euro</w:t>
            </w:r>
            <w:r w:rsidR="00093DEF" w:rsidRPr="004A5EAF">
              <w:rPr>
                <w:bCs/>
                <w:sz w:val="24"/>
                <w:szCs w:val="24"/>
              </w:rPr>
              <w:t>.</w:t>
            </w:r>
          </w:p>
          <w:p w14:paraId="3C3FC1C5" w14:textId="77777777" w:rsidR="009813D1" w:rsidRPr="004A5EAF" w:rsidRDefault="009813D1" w:rsidP="004E2D41">
            <w:pPr>
              <w:pStyle w:val="FootnoteText"/>
              <w:jc w:val="both"/>
              <w:rPr>
                <w:sz w:val="24"/>
                <w:szCs w:val="24"/>
              </w:rPr>
            </w:pPr>
          </w:p>
          <w:p w14:paraId="74F96B3E" w14:textId="62FC1872" w:rsidR="00093DEF" w:rsidRPr="004A5EAF" w:rsidRDefault="009813D1" w:rsidP="004E2D41">
            <w:pPr>
              <w:pStyle w:val="FootnoteText"/>
              <w:jc w:val="both"/>
              <w:rPr>
                <w:sz w:val="24"/>
                <w:szCs w:val="24"/>
              </w:rPr>
            </w:pPr>
            <w:r w:rsidRPr="004A5EAF">
              <w:rPr>
                <w:sz w:val="24"/>
                <w:szCs w:val="24"/>
              </w:rPr>
              <w:t xml:space="preserve">   </w:t>
            </w:r>
            <w:r w:rsidR="00CE4F6E" w:rsidRPr="004A5EAF">
              <w:rPr>
                <w:sz w:val="24"/>
                <w:szCs w:val="24"/>
              </w:rPr>
              <w:t>Noteikumu projekta</w:t>
            </w:r>
            <w:r w:rsidR="00093DEF" w:rsidRPr="004A5EAF">
              <w:rPr>
                <w:sz w:val="24"/>
                <w:szCs w:val="24"/>
              </w:rPr>
              <w:t xml:space="preserve"> ieviešana neradīs papildus izmaksas, jo </w:t>
            </w:r>
            <w:r w:rsidR="001F1684" w:rsidRPr="004A5EAF">
              <w:rPr>
                <w:sz w:val="24"/>
                <w:szCs w:val="24"/>
              </w:rPr>
              <w:t xml:space="preserve">izmaksas, kas paredzētas noteikumu projektā, </w:t>
            </w:r>
            <w:r w:rsidR="00093DEF" w:rsidRPr="004A5EAF">
              <w:rPr>
                <w:sz w:val="24"/>
                <w:szCs w:val="24"/>
              </w:rPr>
              <w:t xml:space="preserve">neatšķiras no </w:t>
            </w:r>
            <w:r w:rsidR="00093DEF" w:rsidRPr="004A5EAF">
              <w:rPr>
                <w:bCs/>
                <w:sz w:val="24"/>
                <w:szCs w:val="24"/>
              </w:rPr>
              <w:t xml:space="preserve"> Ministru kabineta 2016.</w:t>
            </w:r>
            <w:r w:rsidR="00813F8D" w:rsidRPr="004A5EAF">
              <w:rPr>
                <w:bCs/>
                <w:sz w:val="24"/>
                <w:szCs w:val="24"/>
              </w:rPr>
              <w:t> </w:t>
            </w:r>
            <w:r w:rsidR="00093DEF" w:rsidRPr="004A5EAF">
              <w:rPr>
                <w:bCs/>
                <w:sz w:val="24"/>
                <w:szCs w:val="24"/>
              </w:rPr>
              <w:t>gada 2.</w:t>
            </w:r>
            <w:r w:rsidR="00813F8D" w:rsidRPr="004A5EAF">
              <w:rPr>
                <w:bCs/>
                <w:sz w:val="24"/>
                <w:szCs w:val="24"/>
              </w:rPr>
              <w:t> </w:t>
            </w:r>
            <w:r w:rsidR="00093DEF" w:rsidRPr="004A5EAF">
              <w:rPr>
                <w:bCs/>
                <w:sz w:val="24"/>
                <w:szCs w:val="24"/>
              </w:rPr>
              <w:t>augusta noteikum</w:t>
            </w:r>
            <w:r w:rsidR="00CE4F6E" w:rsidRPr="004A5EAF">
              <w:rPr>
                <w:bCs/>
                <w:sz w:val="24"/>
                <w:szCs w:val="24"/>
              </w:rPr>
              <w:t>os</w:t>
            </w:r>
            <w:r w:rsidR="00093DEF" w:rsidRPr="004A5EAF">
              <w:rPr>
                <w:bCs/>
                <w:sz w:val="24"/>
                <w:szCs w:val="24"/>
              </w:rPr>
              <w:t xml:space="preserve"> Nr.</w:t>
            </w:r>
            <w:r w:rsidR="00813F8D" w:rsidRPr="004A5EAF">
              <w:rPr>
                <w:bCs/>
                <w:sz w:val="24"/>
                <w:szCs w:val="24"/>
              </w:rPr>
              <w:t> </w:t>
            </w:r>
            <w:r w:rsidR="00093DEF" w:rsidRPr="004A5EAF">
              <w:rPr>
                <w:bCs/>
                <w:sz w:val="24"/>
                <w:szCs w:val="24"/>
              </w:rPr>
              <w:t>502 “Šaušanas instruktoru sertificēšanas noteikumi”</w:t>
            </w:r>
            <w:r w:rsidR="0082673A" w:rsidRPr="004A5EAF">
              <w:rPr>
                <w:bCs/>
                <w:sz w:val="24"/>
                <w:szCs w:val="24"/>
              </w:rPr>
              <w:t xml:space="preserve"> </w:t>
            </w:r>
            <w:r w:rsidR="00CE4F6E" w:rsidRPr="004A5EAF">
              <w:rPr>
                <w:bCs/>
                <w:sz w:val="24"/>
                <w:szCs w:val="24"/>
              </w:rPr>
              <w:t xml:space="preserve">paredzētajām </w:t>
            </w:r>
            <w:r w:rsidR="0082673A" w:rsidRPr="004A5EAF">
              <w:rPr>
                <w:bCs/>
                <w:sz w:val="24"/>
                <w:szCs w:val="24"/>
              </w:rPr>
              <w:t>i</w:t>
            </w:r>
            <w:r w:rsidR="00093DEF" w:rsidRPr="004A5EAF">
              <w:rPr>
                <w:bCs/>
                <w:sz w:val="24"/>
                <w:szCs w:val="24"/>
              </w:rPr>
              <w:t>nstruktoru sertificēšanas maksām</w:t>
            </w:r>
            <w:r w:rsidR="00D54FDC" w:rsidRPr="004A5EAF">
              <w:rPr>
                <w:bCs/>
                <w:sz w:val="24"/>
                <w:szCs w:val="24"/>
              </w:rPr>
              <w:t>, kas bija noteiktas līdz 2020. gada 1. janvārim</w:t>
            </w:r>
            <w:r w:rsidR="00093DEF" w:rsidRPr="004A5EAF">
              <w:rPr>
                <w:bCs/>
                <w:sz w:val="24"/>
                <w:szCs w:val="24"/>
              </w:rPr>
              <w:t>.</w:t>
            </w:r>
          </w:p>
        </w:tc>
      </w:tr>
      <w:tr w:rsidR="00DE2CC0" w:rsidRPr="004A5EAF" w14:paraId="1632F7FE" w14:textId="77777777" w:rsidTr="004A5EAF">
        <w:trPr>
          <w:trHeight w:val="500"/>
        </w:trPr>
        <w:tc>
          <w:tcPr>
            <w:tcW w:w="425" w:type="dxa"/>
          </w:tcPr>
          <w:p w14:paraId="132B49A5" w14:textId="77777777" w:rsidR="00093DEF" w:rsidRPr="004A5EAF" w:rsidRDefault="00093DEF" w:rsidP="004E2D41">
            <w:pPr>
              <w:rPr>
                <w:color w:val="auto"/>
              </w:rPr>
            </w:pPr>
            <w:r w:rsidRPr="004A5EAF">
              <w:rPr>
                <w:color w:val="auto"/>
              </w:rPr>
              <w:lastRenderedPageBreak/>
              <w:t>4.</w:t>
            </w:r>
          </w:p>
        </w:tc>
        <w:tc>
          <w:tcPr>
            <w:tcW w:w="2694" w:type="dxa"/>
          </w:tcPr>
          <w:p w14:paraId="7EB50B11" w14:textId="77777777" w:rsidR="00093DEF" w:rsidRPr="004A5EAF" w:rsidRDefault="00093DEF" w:rsidP="004E2D41">
            <w:pPr>
              <w:rPr>
                <w:color w:val="auto"/>
              </w:rPr>
            </w:pPr>
            <w:r w:rsidRPr="004A5EAF">
              <w:rPr>
                <w:color w:val="auto"/>
              </w:rPr>
              <w:t>Atbilstības izmaksu monetārs novērtējums</w:t>
            </w:r>
          </w:p>
        </w:tc>
        <w:tc>
          <w:tcPr>
            <w:tcW w:w="7091" w:type="dxa"/>
          </w:tcPr>
          <w:p w14:paraId="02767A00" w14:textId="7C42B4A9" w:rsidR="00093DEF" w:rsidRPr="004A5EAF" w:rsidRDefault="00B60B73" w:rsidP="004E2D41">
            <w:pPr>
              <w:rPr>
                <w:color w:val="auto"/>
              </w:rPr>
            </w:pPr>
            <w:r w:rsidRPr="004A5EAF">
              <w:rPr>
                <w:color w:val="auto"/>
              </w:rPr>
              <w:t xml:space="preserve">   </w:t>
            </w:r>
            <w:r w:rsidR="004B722E" w:rsidRPr="004A5EAF">
              <w:rPr>
                <w:color w:val="auto"/>
              </w:rPr>
              <w:t>Noteikumu p</w:t>
            </w:r>
            <w:r w:rsidR="00093DEF" w:rsidRPr="004A5EAF">
              <w:rPr>
                <w:color w:val="auto"/>
              </w:rPr>
              <w:t>rojekts šo jomu neskar.</w:t>
            </w:r>
          </w:p>
        </w:tc>
      </w:tr>
      <w:tr w:rsidR="00DE2CC0" w:rsidRPr="004A5EAF" w14:paraId="38C96B51" w14:textId="77777777" w:rsidTr="004A5EAF">
        <w:trPr>
          <w:trHeight w:val="340"/>
        </w:trPr>
        <w:tc>
          <w:tcPr>
            <w:tcW w:w="425" w:type="dxa"/>
          </w:tcPr>
          <w:p w14:paraId="3C608246" w14:textId="77777777" w:rsidR="00093DEF" w:rsidRPr="004A5EAF" w:rsidRDefault="00093DEF" w:rsidP="004E2D41">
            <w:pPr>
              <w:rPr>
                <w:color w:val="auto"/>
              </w:rPr>
            </w:pPr>
            <w:r w:rsidRPr="004A5EAF">
              <w:rPr>
                <w:color w:val="auto"/>
              </w:rPr>
              <w:t>5.</w:t>
            </w:r>
          </w:p>
        </w:tc>
        <w:tc>
          <w:tcPr>
            <w:tcW w:w="2694" w:type="dxa"/>
          </w:tcPr>
          <w:p w14:paraId="5D728E58" w14:textId="77777777" w:rsidR="00093DEF" w:rsidRPr="004A5EAF" w:rsidRDefault="00093DEF" w:rsidP="004E2D41">
            <w:pPr>
              <w:rPr>
                <w:color w:val="auto"/>
              </w:rPr>
            </w:pPr>
            <w:r w:rsidRPr="004A5EAF">
              <w:rPr>
                <w:color w:val="auto"/>
              </w:rPr>
              <w:t>Cita informācija</w:t>
            </w:r>
          </w:p>
        </w:tc>
        <w:tc>
          <w:tcPr>
            <w:tcW w:w="7091" w:type="dxa"/>
          </w:tcPr>
          <w:p w14:paraId="0ECBBAC9" w14:textId="77777777" w:rsidR="00093DEF" w:rsidRPr="004A5EAF" w:rsidRDefault="00B60B73" w:rsidP="004E2D41">
            <w:pPr>
              <w:rPr>
                <w:color w:val="auto"/>
              </w:rPr>
            </w:pPr>
            <w:r w:rsidRPr="004A5EAF">
              <w:rPr>
                <w:color w:val="auto"/>
              </w:rPr>
              <w:t xml:space="preserve">   </w:t>
            </w:r>
            <w:r w:rsidR="00093DEF" w:rsidRPr="004A5EAF">
              <w:rPr>
                <w:color w:val="auto"/>
              </w:rPr>
              <w:t>Nav</w:t>
            </w:r>
          </w:p>
        </w:tc>
      </w:tr>
    </w:tbl>
    <w:p w14:paraId="2226C20B" w14:textId="77777777" w:rsidR="00863953" w:rsidRPr="004A5EAF" w:rsidRDefault="00863953" w:rsidP="004E2D41">
      <w:pPr>
        <w:shd w:val="clear" w:color="auto" w:fill="FFFFFF"/>
        <w:ind w:firstLine="300"/>
        <w:rPr>
          <w:color w:val="auto"/>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1115"/>
        <w:gridCol w:w="1383"/>
        <w:gridCol w:w="1093"/>
        <w:gridCol w:w="1202"/>
        <w:gridCol w:w="1093"/>
        <w:gridCol w:w="1187"/>
        <w:gridCol w:w="1150"/>
      </w:tblGrid>
      <w:tr w:rsidR="00B43A78" w:rsidRPr="004A5EAF" w14:paraId="05BC9034" w14:textId="77777777" w:rsidTr="003648C3">
        <w:trPr>
          <w:trHeight w:val="361"/>
          <w:jc w:val="center"/>
        </w:trPr>
        <w:tc>
          <w:tcPr>
            <w:tcW w:w="10343" w:type="dxa"/>
            <w:gridSpan w:val="8"/>
            <w:vAlign w:val="center"/>
          </w:tcPr>
          <w:p w14:paraId="6687E081" w14:textId="77777777" w:rsidR="00B43A78" w:rsidRPr="004A5EAF" w:rsidRDefault="00B43A78" w:rsidP="003648C3">
            <w:pPr>
              <w:jc w:val="center"/>
            </w:pPr>
            <w:r w:rsidRPr="004A5EAF">
              <w:br w:type="page"/>
            </w:r>
            <w:r w:rsidRPr="004A5EAF">
              <w:br w:type="page"/>
            </w:r>
            <w:r w:rsidRPr="004A5EAF">
              <w:br w:type="page"/>
            </w:r>
            <w:r w:rsidRPr="004A5EAF">
              <w:rPr>
                <w:b/>
              </w:rPr>
              <w:t>III. Tiesību akta projekta ietekme uz valsts budžetu un pašvaldību budžetiem</w:t>
            </w:r>
          </w:p>
        </w:tc>
      </w:tr>
      <w:tr w:rsidR="00B43A78" w:rsidRPr="004A5EAF" w14:paraId="41C00F08" w14:textId="77777777" w:rsidTr="003648C3">
        <w:trPr>
          <w:jc w:val="center"/>
        </w:trPr>
        <w:tc>
          <w:tcPr>
            <w:tcW w:w="2175" w:type="dxa"/>
            <w:vMerge w:val="restart"/>
            <w:vAlign w:val="center"/>
          </w:tcPr>
          <w:p w14:paraId="2DF4DE7A" w14:textId="77777777" w:rsidR="00B43A78" w:rsidRPr="004A5EAF" w:rsidRDefault="00B43A78" w:rsidP="003648C3">
            <w:pPr>
              <w:jc w:val="center"/>
              <w:rPr>
                <w:b/>
              </w:rPr>
            </w:pPr>
            <w:r w:rsidRPr="004A5EAF">
              <w:rPr>
                <w:b/>
              </w:rPr>
              <w:t>Rādītāji</w:t>
            </w:r>
          </w:p>
        </w:tc>
        <w:tc>
          <w:tcPr>
            <w:tcW w:w="2537" w:type="dxa"/>
            <w:gridSpan w:val="2"/>
            <w:vMerge w:val="restart"/>
            <w:vAlign w:val="center"/>
          </w:tcPr>
          <w:p w14:paraId="2607C204" w14:textId="7BD87583" w:rsidR="00B43A78" w:rsidRPr="004A5EAF" w:rsidRDefault="00B43A78" w:rsidP="00252AB8">
            <w:pPr>
              <w:jc w:val="center"/>
              <w:rPr>
                <w:b/>
              </w:rPr>
            </w:pPr>
            <w:r w:rsidRPr="004A5EAF">
              <w:rPr>
                <w:b/>
              </w:rPr>
              <w:t>202</w:t>
            </w:r>
            <w:r w:rsidR="00252AB8" w:rsidRPr="004A5EAF">
              <w:rPr>
                <w:b/>
              </w:rPr>
              <w:t>1</w:t>
            </w:r>
          </w:p>
        </w:tc>
        <w:tc>
          <w:tcPr>
            <w:tcW w:w="5631" w:type="dxa"/>
            <w:gridSpan w:val="5"/>
            <w:vAlign w:val="center"/>
          </w:tcPr>
          <w:p w14:paraId="12AAE92D" w14:textId="77777777" w:rsidR="00B43A78" w:rsidRPr="004A5EAF" w:rsidRDefault="00B43A78" w:rsidP="003648C3">
            <w:pPr>
              <w:jc w:val="center"/>
            </w:pPr>
            <w:r w:rsidRPr="004A5EAF">
              <w:t>Turpmākie trīs gadi (</w:t>
            </w:r>
            <w:r w:rsidRPr="004A5EAF">
              <w:rPr>
                <w:i/>
              </w:rPr>
              <w:t>euro</w:t>
            </w:r>
            <w:r w:rsidRPr="004A5EAF">
              <w:t>)</w:t>
            </w:r>
          </w:p>
        </w:tc>
      </w:tr>
      <w:tr w:rsidR="00B43A78" w:rsidRPr="004A5EAF" w14:paraId="0F60EAE4" w14:textId="77777777" w:rsidTr="003648C3">
        <w:trPr>
          <w:jc w:val="center"/>
        </w:trPr>
        <w:tc>
          <w:tcPr>
            <w:tcW w:w="2175" w:type="dxa"/>
            <w:vMerge/>
            <w:vAlign w:val="center"/>
          </w:tcPr>
          <w:p w14:paraId="000D7BC7" w14:textId="77777777" w:rsidR="00B43A78" w:rsidRPr="004A5EAF" w:rsidRDefault="00B43A78" w:rsidP="003648C3">
            <w:pPr>
              <w:jc w:val="center"/>
              <w:rPr>
                <w:b/>
                <w:i/>
              </w:rPr>
            </w:pPr>
          </w:p>
        </w:tc>
        <w:tc>
          <w:tcPr>
            <w:tcW w:w="2537" w:type="dxa"/>
            <w:gridSpan w:val="2"/>
            <w:vMerge/>
            <w:vAlign w:val="center"/>
          </w:tcPr>
          <w:p w14:paraId="20523AEA" w14:textId="77777777" w:rsidR="00B43A78" w:rsidRPr="004A5EAF" w:rsidRDefault="00B43A78" w:rsidP="003648C3">
            <w:pPr>
              <w:jc w:val="center"/>
              <w:rPr>
                <w:b/>
                <w:i/>
              </w:rPr>
            </w:pPr>
          </w:p>
        </w:tc>
        <w:tc>
          <w:tcPr>
            <w:tcW w:w="2320" w:type="dxa"/>
            <w:gridSpan w:val="2"/>
            <w:vAlign w:val="center"/>
          </w:tcPr>
          <w:p w14:paraId="0DAAF0A3" w14:textId="22802BAB" w:rsidR="00B43A78" w:rsidRPr="004A5EAF" w:rsidRDefault="00B43A78" w:rsidP="00252AB8">
            <w:pPr>
              <w:jc w:val="center"/>
              <w:rPr>
                <w:b/>
                <w:i/>
              </w:rPr>
            </w:pPr>
            <w:r w:rsidRPr="004A5EAF">
              <w:rPr>
                <w:b/>
                <w:bCs/>
              </w:rPr>
              <w:t>202</w:t>
            </w:r>
            <w:r w:rsidR="00252AB8" w:rsidRPr="004A5EAF">
              <w:rPr>
                <w:b/>
                <w:bCs/>
              </w:rPr>
              <w:t>2</w:t>
            </w:r>
          </w:p>
        </w:tc>
        <w:tc>
          <w:tcPr>
            <w:tcW w:w="2303" w:type="dxa"/>
            <w:gridSpan w:val="2"/>
            <w:vAlign w:val="center"/>
          </w:tcPr>
          <w:p w14:paraId="71DE6538" w14:textId="1CE050E8" w:rsidR="00B43A78" w:rsidRPr="004A5EAF" w:rsidRDefault="00B43A78" w:rsidP="00252AB8">
            <w:pPr>
              <w:jc w:val="center"/>
              <w:rPr>
                <w:b/>
                <w:bCs/>
              </w:rPr>
            </w:pPr>
            <w:r w:rsidRPr="004A5EAF">
              <w:rPr>
                <w:b/>
                <w:bCs/>
              </w:rPr>
              <w:t>202</w:t>
            </w:r>
            <w:r w:rsidR="00252AB8" w:rsidRPr="004A5EAF">
              <w:rPr>
                <w:b/>
                <w:bCs/>
              </w:rPr>
              <w:t>3</w:t>
            </w:r>
          </w:p>
        </w:tc>
        <w:tc>
          <w:tcPr>
            <w:tcW w:w="1008" w:type="dxa"/>
            <w:vAlign w:val="center"/>
          </w:tcPr>
          <w:p w14:paraId="7BDE0489" w14:textId="7E6C0D34" w:rsidR="00B43A78" w:rsidRPr="004A5EAF" w:rsidRDefault="00B43A78" w:rsidP="00252AB8">
            <w:pPr>
              <w:jc w:val="center"/>
              <w:rPr>
                <w:b/>
                <w:bCs/>
              </w:rPr>
            </w:pPr>
            <w:r w:rsidRPr="004A5EAF">
              <w:rPr>
                <w:b/>
                <w:bCs/>
              </w:rPr>
              <w:t>202</w:t>
            </w:r>
            <w:r w:rsidR="00252AB8" w:rsidRPr="004A5EAF">
              <w:rPr>
                <w:b/>
                <w:bCs/>
              </w:rPr>
              <w:t>4</w:t>
            </w:r>
          </w:p>
        </w:tc>
      </w:tr>
      <w:tr w:rsidR="00B43A78" w:rsidRPr="004A5EAF" w14:paraId="7EC0FD0E" w14:textId="77777777" w:rsidTr="003648C3">
        <w:trPr>
          <w:jc w:val="center"/>
        </w:trPr>
        <w:tc>
          <w:tcPr>
            <w:tcW w:w="2175" w:type="dxa"/>
            <w:vMerge/>
            <w:vAlign w:val="center"/>
          </w:tcPr>
          <w:p w14:paraId="141FEEB1" w14:textId="77777777" w:rsidR="00B43A78" w:rsidRPr="004A5EAF" w:rsidRDefault="00B43A78" w:rsidP="003648C3">
            <w:pPr>
              <w:jc w:val="center"/>
              <w:rPr>
                <w:b/>
                <w:i/>
              </w:rPr>
            </w:pPr>
          </w:p>
        </w:tc>
        <w:tc>
          <w:tcPr>
            <w:tcW w:w="1123" w:type="dxa"/>
            <w:vAlign w:val="center"/>
          </w:tcPr>
          <w:p w14:paraId="2814C92E" w14:textId="77777777" w:rsidR="00B43A78" w:rsidRPr="004A5EAF" w:rsidRDefault="00B43A78" w:rsidP="003648C3">
            <w:pPr>
              <w:jc w:val="center"/>
              <w:rPr>
                <w:b/>
                <w:i/>
              </w:rPr>
            </w:pPr>
            <w:r w:rsidRPr="004A5EAF">
              <w:t>saskaņā ar valsts budžetu kārtējam gadam</w:t>
            </w:r>
          </w:p>
        </w:tc>
        <w:tc>
          <w:tcPr>
            <w:tcW w:w="1414" w:type="dxa"/>
            <w:vAlign w:val="center"/>
          </w:tcPr>
          <w:p w14:paraId="4076AB20" w14:textId="77777777" w:rsidR="00B43A78" w:rsidRPr="004A5EAF" w:rsidRDefault="00B43A78" w:rsidP="003648C3">
            <w:pPr>
              <w:jc w:val="center"/>
              <w:rPr>
                <w:b/>
                <w:i/>
              </w:rPr>
            </w:pPr>
            <w:r w:rsidRPr="004A5EAF">
              <w:t>izmaiņas kārtējā gadā, salīdzinot ar budžetu kārtējam gadam</w:t>
            </w:r>
          </w:p>
        </w:tc>
        <w:tc>
          <w:tcPr>
            <w:tcW w:w="1111" w:type="dxa"/>
            <w:vAlign w:val="center"/>
          </w:tcPr>
          <w:p w14:paraId="238FB40F" w14:textId="77777777" w:rsidR="00B43A78" w:rsidRPr="004A5EAF" w:rsidRDefault="00B43A78" w:rsidP="003648C3">
            <w:pPr>
              <w:jc w:val="center"/>
            </w:pPr>
            <w:r w:rsidRPr="004A5EAF">
              <w:t>saskaņā ar vidēja termiņa budžeta ietvaru</w:t>
            </w:r>
          </w:p>
        </w:tc>
        <w:tc>
          <w:tcPr>
            <w:tcW w:w="1209" w:type="dxa"/>
            <w:vAlign w:val="center"/>
          </w:tcPr>
          <w:p w14:paraId="5AFB5739" w14:textId="79180BD2" w:rsidR="00B43A78" w:rsidRPr="004A5EAF" w:rsidRDefault="00B43A78" w:rsidP="003648C3">
            <w:pPr>
              <w:jc w:val="center"/>
            </w:pPr>
            <w:r w:rsidRPr="004A5EAF">
              <w:t>izmaiņas, salīdzinot ar vidēja termiņa budžeta ietvaru 202</w:t>
            </w:r>
            <w:r w:rsidR="00252AB8" w:rsidRPr="004A5EAF">
              <w:t>2</w:t>
            </w:r>
            <w:r w:rsidRPr="004A5EAF">
              <w:t>.</w:t>
            </w:r>
          </w:p>
          <w:p w14:paraId="774E1340" w14:textId="77777777" w:rsidR="00B43A78" w:rsidRPr="004A5EAF" w:rsidRDefault="00B43A78" w:rsidP="003648C3">
            <w:pPr>
              <w:jc w:val="center"/>
            </w:pPr>
            <w:r w:rsidRPr="004A5EAF">
              <w:t>gadam</w:t>
            </w:r>
          </w:p>
        </w:tc>
        <w:tc>
          <w:tcPr>
            <w:tcW w:w="1111" w:type="dxa"/>
            <w:vAlign w:val="center"/>
          </w:tcPr>
          <w:p w14:paraId="09456D86" w14:textId="77777777" w:rsidR="00B43A78" w:rsidRPr="004A5EAF" w:rsidRDefault="00B43A78" w:rsidP="003648C3">
            <w:pPr>
              <w:jc w:val="center"/>
            </w:pPr>
            <w:r w:rsidRPr="004A5EAF">
              <w:t>saskaņā ar vidēja termiņa budžeta ietvaru</w:t>
            </w:r>
          </w:p>
        </w:tc>
        <w:tc>
          <w:tcPr>
            <w:tcW w:w="1192" w:type="dxa"/>
            <w:vAlign w:val="center"/>
          </w:tcPr>
          <w:p w14:paraId="4787571D" w14:textId="455A256E" w:rsidR="00B43A78" w:rsidRPr="004A5EAF" w:rsidRDefault="00B43A78" w:rsidP="003648C3">
            <w:pPr>
              <w:jc w:val="center"/>
            </w:pPr>
            <w:r w:rsidRPr="004A5EAF">
              <w:t>izmaiņas, salīdzinot ar vidēja termiņa budžeta ietvaru 202</w:t>
            </w:r>
            <w:r w:rsidR="00252AB8" w:rsidRPr="004A5EAF">
              <w:t>3</w:t>
            </w:r>
            <w:r w:rsidRPr="004A5EAF">
              <w:t>.</w:t>
            </w:r>
          </w:p>
          <w:p w14:paraId="2E25DE89" w14:textId="77777777" w:rsidR="00B43A78" w:rsidRPr="004A5EAF" w:rsidRDefault="00B43A78" w:rsidP="003648C3">
            <w:pPr>
              <w:jc w:val="center"/>
            </w:pPr>
            <w:r w:rsidRPr="004A5EAF">
              <w:t>gadam</w:t>
            </w:r>
          </w:p>
        </w:tc>
        <w:tc>
          <w:tcPr>
            <w:tcW w:w="1008" w:type="dxa"/>
            <w:vAlign w:val="center"/>
          </w:tcPr>
          <w:p w14:paraId="7DD6EFEE" w14:textId="6D020733" w:rsidR="00B43A78" w:rsidRPr="004A5EAF" w:rsidRDefault="00B43A78" w:rsidP="003648C3">
            <w:pPr>
              <w:jc w:val="center"/>
            </w:pPr>
            <w:r w:rsidRPr="004A5EAF">
              <w:t>izmaiņas, salīdzinot ar vidēja termiņa budžeta ietvaru 202</w:t>
            </w:r>
            <w:r w:rsidR="00252AB8" w:rsidRPr="004A5EAF">
              <w:t>3</w:t>
            </w:r>
            <w:r w:rsidRPr="004A5EAF">
              <w:t>.</w:t>
            </w:r>
          </w:p>
          <w:p w14:paraId="39BF6636" w14:textId="77777777" w:rsidR="00B43A78" w:rsidRPr="004A5EAF" w:rsidRDefault="00B43A78" w:rsidP="003648C3">
            <w:pPr>
              <w:jc w:val="center"/>
            </w:pPr>
            <w:r w:rsidRPr="004A5EAF">
              <w:t>gadam</w:t>
            </w:r>
          </w:p>
        </w:tc>
      </w:tr>
      <w:tr w:rsidR="00B43A78" w:rsidRPr="004A5EAF" w14:paraId="7ADA79BA" w14:textId="77777777" w:rsidTr="003648C3">
        <w:trPr>
          <w:jc w:val="center"/>
        </w:trPr>
        <w:tc>
          <w:tcPr>
            <w:tcW w:w="2175" w:type="dxa"/>
            <w:vAlign w:val="center"/>
          </w:tcPr>
          <w:p w14:paraId="4CB90150" w14:textId="77777777" w:rsidR="00B43A78" w:rsidRPr="004A5EAF" w:rsidRDefault="00B43A78" w:rsidP="003648C3">
            <w:pPr>
              <w:jc w:val="center"/>
              <w:rPr>
                <w:bCs/>
              </w:rPr>
            </w:pPr>
            <w:r w:rsidRPr="004A5EAF">
              <w:rPr>
                <w:bCs/>
              </w:rPr>
              <w:t>1</w:t>
            </w:r>
          </w:p>
        </w:tc>
        <w:tc>
          <w:tcPr>
            <w:tcW w:w="1123" w:type="dxa"/>
            <w:vAlign w:val="center"/>
          </w:tcPr>
          <w:p w14:paraId="70744462" w14:textId="77777777" w:rsidR="00B43A78" w:rsidRPr="004A5EAF" w:rsidRDefault="00B43A78" w:rsidP="003648C3">
            <w:pPr>
              <w:jc w:val="center"/>
              <w:rPr>
                <w:bCs/>
              </w:rPr>
            </w:pPr>
            <w:r w:rsidRPr="004A5EAF">
              <w:rPr>
                <w:bCs/>
              </w:rPr>
              <w:t>2</w:t>
            </w:r>
          </w:p>
        </w:tc>
        <w:tc>
          <w:tcPr>
            <w:tcW w:w="1414" w:type="dxa"/>
            <w:vAlign w:val="center"/>
          </w:tcPr>
          <w:p w14:paraId="37705A24" w14:textId="77777777" w:rsidR="00B43A78" w:rsidRPr="004A5EAF" w:rsidRDefault="00B43A78" w:rsidP="003648C3">
            <w:pPr>
              <w:jc w:val="center"/>
              <w:rPr>
                <w:bCs/>
              </w:rPr>
            </w:pPr>
            <w:r w:rsidRPr="004A5EAF">
              <w:rPr>
                <w:bCs/>
              </w:rPr>
              <w:t>3</w:t>
            </w:r>
          </w:p>
        </w:tc>
        <w:tc>
          <w:tcPr>
            <w:tcW w:w="1111" w:type="dxa"/>
            <w:vAlign w:val="center"/>
          </w:tcPr>
          <w:p w14:paraId="6C3ED857" w14:textId="77777777" w:rsidR="00B43A78" w:rsidRPr="004A5EAF" w:rsidRDefault="00B43A78" w:rsidP="003648C3">
            <w:pPr>
              <w:jc w:val="center"/>
              <w:rPr>
                <w:bCs/>
              </w:rPr>
            </w:pPr>
            <w:r w:rsidRPr="004A5EAF">
              <w:rPr>
                <w:bCs/>
              </w:rPr>
              <w:t>4</w:t>
            </w:r>
          </w:p>
        </w:tc>
        <w:tc>
          <w:tcPr>
            <w:tcW w:w="1209" w:type="dxa"/>
            <w:vAlign w:val="center"/>
          </w:tcPr>
          <w:p w14:paraId="41FE6376" w14:textId="77777777" w:rsidR="00B43A78" w:rsidRPr="004A5EAF" w:rsidRDefault="00B43A78" w:rsidP="003648C3">
            <w:pPr>
              <w:jc w:val="center"/>
              <w:rPr>
                <w:bCs/>
              </w:rPr>
            </w:pPr>
            <w:r w:rsidRPr="004A5EAF">
              <w:rPr>
                <w:bCs/>
              </w:rPr>
              <w:t>5</w:t>
            </w:r>
          </w:p>
        </w:tc>
        <w:tc>
          <w:tcPr>
            <w:tcW w:w="1111" w:type="dxa"/>
            <w:vAlign w:val="center"/>
          </w:tcPr>
          <w:p w14:paraId="573A8866" w14:textId="77777777" w:rsidR="00B43A78" w:rsidRPr="004A5EAF" w:rsidRDefault="00B43A78" w:rsidP="003648C3">
            <w:pPr>
              <w:jc w:val="center"/>
              <w:rPr>
                <w:bCs/>
              </w:rPr>
            </w:pPr>
            <w:r w:rsidRPr="004A5EAF">
              <w:rPr>
                <w:bCs/>
              </w:rPr>
              <w:t>6</w:t>
            </w:r>
          </w:p>
        </w:tc>
        <w:tc>
          <w:tcPr>
            <w:tcW w:w="1192" w:type="dxa"/>
          </w:tcPr>
          <w:p w14:paraId="7B8F856C" w14:textId="77777777" w:rsidR="00B43A78" w:rsidRPr="004A5EAF" w:rsidRDefault="00B43A78" w:rsidP="003648C3">
            <w:pPr>
              <w:jc w:val="center"/>
              <w:rPr>
                <w:bCs/>
              </w:rPr>
            </w:pPr>
            <w:r w:rsidRPr="004A5EAF">
              <w:rPr>
                <w:bCs/>
              </w:rPr>
              <w:t>7</w:t>
            </w:r>
          </w:p>
        </w:tc>
        <w:tc>
          <w:tcPr>
            <w:tcW w:w="1008" w:type="dxa"/>
          </w:tcPr>
          <w:p w14:paraId="4BFE6E4E" w14:textId="77777777" w:rsidR="00B43A78" w:rsidRPr="004A5EAF" w:rsidRDefault="00B43A78" w:rsidP="003648C3">
            <w:pPr>
              <w:jc w:val="center"/>
              <w:rPr>
                <w:bCs/>
              </w:rPr>
            </w:pPr>
            <w:r w:rsidRPr="004A5EAF">
              <w:rPr>
                <w:bCs/>
              </w:rPr>
              <w:t>8</w:t>
            </w:r>
          </w:p>
        </w:tc>
      </w:tr>
      <w:tr w:rsidR="00B43A78" w:rsidRPr="004A5EAF" w14:paraId="03C1F1D8" w14:textId="77777777" w:rsidTr="003648C3">
        <w:trPr>
          <w:jc w:val="center"/>
        </w:trPr>
        <w:tc>
          <w:tcPr>
            <w:tcW w:w="2175" w:type="dxa"/>
          </w:tcPr>
          <w:p w14:paraId="2A7CDB25" w14:textId="77777777" w:rsidR="00B43A78" w:rsidRPr="004A5EAF" w:rsidRDefault="00B43A78" w:rsidP="003648C3">
            <w:pPr>
              <w:rPr>
                <w:i/>
              </w:rPr>
            </w:pPr>
            <w:r w:rsidRPr="004A5EAF">
              <w:t>1. Budžeta ieņēmumi:</w:t>
            </w:r>
          </w:p>
        </w:tc>
        <w:tc>
          <w:tcPr>
            <w:tcW w:w="1123" w:type="dxa"/>
          </w:tcPr>
          <w:p w14:paraId="12EFD69D" w14:textId="77777777" w:rsidR="00B43A78" w:rsidRPr="004A5EAF" w:rsidRDefault="00B43A78" w:rsidP="003648C3">
            <w:pPr>
              <w:jc w:val="center"/>
              <w:rPr>
                <w:b/>
              </w:rPr>
            </w:pPr>
            <w:r w:rsidRPr="004A5EAF">
              <w:rPr>
                <w:b/>
              </w:rPr>
              <w:t>0</w:t>
            </w:r>
          </w:p>
        </w:tc>
        <w:tc>
          <w:tcPr>
            <w:tcW w:w="1414" w:type="dxa"/>
          </w:tcPr>
          <w:p w14:paraId="1608F30B" w14:textId="77777777" w:rsidR="00B43A78" w:rsidRPr="004A5EAF" w:rsidRDefault="00B43A78" w:rsidP="003648C3">
            <w:pPr>
              <w:jc w:val="center"/>
              <w:rPr>
                <w:b/>
              </w:rPr>
            </w:pPr>
            <w:r w:rsidRPr="004A5EAF">
              <w:rPr>
                <w:b/>
              </w:rPr>
              <w:t>0</w:t>
            </w:r>
          </w:p>
        </w:tc>
        <w:tc>
          <w:tcPr>
            <w:tcW w:w="1111" w:type="dxa"/>
          </w:tcPr>
          <w:p w14:paraId="7060B4B3" w14:textId="77777777" w:rsidR="00B43A78" w:rsidRPr="004A5EAF" w:rsidRDefault="00B43A78" w:rsidP="003648C3">
            <w:pPr>
              <w:jc w:val="center"/>
              <w:rPr>
                <w:b/>
              </w:rPr>
            </w:pPr>
            <w:r w:rsidRPr="004A5EAF">
              <w:rPr>
                <w:b/>
              </w:rPr>
              <w:t>0</w:t>
            </w:r>
          </w:p>
        </w:tc>
        <w:tc>
          <w:tcPr>
            <w:tcW w:w="1209" w:type="dxa"/>
          </w:tcPr>
          <w:p w14:paraId="490130B6" w14:textId="77777777" w:rsidR="00B43A78" w:rsidRPr="004A5EAF" w:rsidRDefault="00B43A78" w:rsidP="003648C3">
            <w:pPr>
              <w:jc w:val="center"/>
              <w:rPr>
                <w:b/>
              </w:rPr>
            </w:pPr>
            <w:r w:rsidRPr="004A5EAF">
              <w:rPr>
                <w:b/>
              </w:rPr>
              <w:t>0</w:t>
            </w:r>
          </w:p>
        </w:tc>
        <w:tc>
          <w:tcPr>
            <w:tcW w:w="1111" w:type="dxa"/>
          </w:tcPr>
          <w:p w14:paraId="4DB68F5B" w14:textId="77777777" w:rsidR="00B43A78" w:rsidRPr="004A5EAF" w:rsidRDefault="00B43A78" w:rsidP="003648C3">
            <w:pPr>
              <w:jc w:val="center"/>
              <w:rPr>
                <w:b/>
              </w:rPr>
            </w:pPr>
            <w:r w:rsidRPr="004A5EAF">
              <w:rPr>
                <w:b/>
              </w:rPr>
              <w:t>0</w:t>
            </w:r>
          </w:p>
        </w:tc>
        <w:tc>
          <w:tcPr>
            <w:tcW w:w="1192" w:type="dxa"/>
          </w:tcPr>
          <w:p w14:paraId="6FA67CB5" w14:textId="77777777" w:rsidR="00B43A78" w:rsidRPr="004A5EAF" w:rsidRDefault="00B43A78" w:rsidP="003648C3">
            <w:pPr>
              <w:jc w:val="center"/>
              <w:rPr>
                <w:b/>
              </w:rPr>
            </w:pPr>
            <w:r w:rsidRPr="004A5EAF">
              <w:rPr>
                <w:b/>
              </w:rPr>
              <w:t>0</w:t>
            </w:r>
          </w:p>
        </w:tc>
        <w:tc>
          <w:tcPr>
            <w:tcW w:w="1008" w:type="dxa"/>
          </w:tcPr>
          <w:p w14:paraId="610B261C" w14:textId="77777777" w:rsidR="00B43A78" w:rsidRPr="004A5EAF" w:rsidRDefault="00B43A78" w:rsidP="003648C3">
            <w:pPr>
              <w:jc w:val="center"/>
              <w:rPr>
                <w:b/>
              </w:rPr>
            </w:pPr>
            <w:r w:rsidRPr="004A5EAF">
              <w:rPr>
                <w:b/>
              </w:rPr>
              <w:t>0</w:t>
            </w:r>
          </w:p>
        </w:tc>
      </w:tr>
      <w:tr w:rsidR="00B43A78" w:rsidRPr="004A5EAF" w14:paraId="33A08F52" w14:textId="77777777" w:rsidTr="003648C3">
        <w:trPr>
          <w:jc w:val="center"/>
        </w:trPr>
        <w:tc>
          <w:tcPr>
            <w:tcW w:w="2175" w:type="dxa"/>
          </w:tcPr>
          <w:p w14:paraId="42678DA3" w14:textId="77777777" w:rsidR="00B43A78" w:rsidRPr="004A5EAF" w:rsidRDefault="00B43A78" w:rsidP="003648C3">
            <w:pPr>
              <w:rPr>
                <w:i/>
              </w:rPr>
            </w:pPr>
            <w:r w:rsidRPr="004A5EAF">
              <w:t>1.1. valsts pamatbudžets, tai skaitā ieņēmumi no maksas pakalpojumiem un citi pašu ieņēmumi</w:t>
            </w:r>
          </w:p>
        </w:tc>
        <w:tc>
          <w:tcPr>
            <w:tcW w:w="1123" w:type="dxa"/>
          </w:tcPr>
          <w:p w14:paraId="19B17976" w14:textId="77777777" w:rsidR="00B43A78" w:rsidRPr="004A5EAF" w:rsidRDefault="00B43A78" w:rsidP="003648C3">
            <w:pPr>
              <w:jc w:val="center"/>
              <w:rPr>
                <w:i/>
              </w:rPr>
            </w:pPr>
          </w:p>
        </w:tc>
        <w:tc>
          <w:tcPr>
            <w:tcW w:w="1414" w:type="dxa"/>
          </w:tcPr>
          <w:p w14:paraId="488D7623" w14:textId="77777777" w:rsidR="00B43A78" w:rsidRPr="004A5EAF" w:rsidRDefault="00B43A78" w:rsidP="003648C3">
            <w:pPr>
              <w:jc w:val="center"/>
              <w:rPr>
                <w:i/>
              </w:rPr>
            </w:pPr>
          </w:p>
        </w:tc>
        <w:tc>
          <w:tcPr>
            <w:tcW w:w="1111" w:type="dxa"/>
          </w:tcPr>
          <w:p w14:paraId="75FA077C" w14:textId="77777777" w:rsidR="00B43A78" w:rsidRPr="004A5EAF" w:rsidRDefault="00B43A78" w:rsidP="003648C3">
            <w:pPr>
              <w:jc w:val="center"/>
              <w:rPr>
                <w:i/>
              </w:rPr>
            </w:pPr>
          </w:p>
        </w:tc>
        <w:tc>
          <w:tcPr>
            <w:tcW w:w="1209" w:type="dxa"/>
          </w:tcPr>
          <w:p w14:paraId="13FE1A08" w14:textId="77777777" w:rsidR="00B43A78" w:rsidRPr="004A5EAF" w:rsidRDefault="00B43A78" w:rsidP="003648C3">
            <w:pPr>
              <w:jc w:val="center"/>
              <w:rPr>
                <w:i/>
              </w:rPr>
            </w:pPr>
          </w:p>
        </w:tc>
        <w:tc>
          <w:tcPr>
            <w:tcW w:w="1111" w:type="dxa"/>
          </w:tcPr>
          <w:p w14:paraId="163973A9" w14:textId="77777777" w:rsidR="00B43A78" w:rsidRPr="004A5EAF" w:rsidRDefault="00B43A78" w:rsidP="003648C3">
            <w:pPr>
              <w:jc w:val="center"/>
              <w:rPr>
                <w:i/>
              </w:rPr>
            </w:pPr>
          </w:p>
        </w:tc>
        <w:tc>
          <w:tcPr>
            <w:tcW w:w="1192" w:type="dxa"/>
          </w:tcPr>
          <w:p w14:paraId="3516CA33" w14:textId="77777777" w:rsidR="00B43A78" w:rsidRPr="004A5EAF" w:rsidRDefault="00B43A78" w:rsidP="003648C3">
            <w:pPr>
              <w:jc w:val="center"/>
              <w:rPr>
                <w:i/>
              </w:rPr>
            </w:pPr>
          </w:p>
        </w:tc>
        <w:tc>
          <w:tcPr>
            <w:tcW w:w="1008" w:type="dxa"/>
          </w:tcPr>
          <w:p w14:paraId="4657DC05" w14:textId="77777777" w:rsidR="00B43A78" w:rsidRPr="004A5EAF" w:rsidRDefault="00B43A78" w:rsidP="003648C3">
            <w:pPr>
              <w:jc w:val="center"/>
              <w:rPr>
                <w:i/>
              </w:rPr>
            </w:pPr>
          </w:p>
        </w:tc>
      </w:tr>
      <w:tr w:rsidR="00B43A78" w:rsidRPr="004A5EAF" w14:paraId="7B28CB83" w14:textId="77777777" w:rsidTr="003648C3">
        <w:trPr>
          <w:jc w:val="center"/>
        </w:trPr>
        <w:tc>
          <w:tcPr>
            <w:tcW w:w="2175" w:type="dxa"/>
          </w:tcPr>
          <w:p w14:paraId="31A71F05" w14:textId="77777777" w:rsidR="00B43A78" w:rsidRPr="004A5EAF" w:rsidRDefault="00B43A78" w:rsidP="003648C3">
            <w:pPr>
              <w:rPr>
                <w:i/>
              </w:rPr>
            </w:pPr>
            <w:r w:rsidRPr="004A5EAF">
              <w:t>1.2. valsts speciālais budžets</w:t>
            </w:r>
          </w:p>
        </w:tc>
        <w:tc>
          <w:tcPr>
            <w:tcW w:w="1123" w:type="dxa"/>
          </w:tcPr>
          <w:p w14:paraId="735DE1AC" w14:textId="77777777" w:rsidR="00B43A78" w:rsidRPr="004A5EAF" w:rsidRDefault="00B43A78" w:rsidP="003648C3">
            <w:pPr>
              <w:jc w:val="center"/>
            </w:pPr>
          </w:p>
        </w:tc>
        <w:tc>
          <w:tcPr>
            <w:tcW w:w="1414" w:type="dxa"/>
          </w:tcPr>
          <w:p w14:paraId="73A78209" w14:textId="77777777" w:rsidR="00B43A78" w:rsidRPr="004A5EAF" w:rsidRDefault="00B43A78" w:rsidP="003648C3">
            <w:pPr>
              <w:jc w:val="center"/>
            </w:pPr>
          </w:p>
        </w:tc>
        <w:tc>
          <w:tcPr>
            <w:tcW w:w="1111" w:type="dxa"/>
          </w:tcPr>
          <w:p w14:paraId="7C348B87" w14:textId="77777777" w:rsidR="00B43A78" w:rsidRPr="004A5EAF" w:rsidRDefault="00B43A78" w:rsidP="003648C3">
            <w:pPr>
              <w:jc w:val="center"/>
            </w:pPr>
          </w:p>
        </w:tc>
        <w:tc>
          <w:tcPr>
            <w:tcW w:w="1209" w:type="dxa"/>
          </w:tcPr>
          <w:p w14:paraId="06D9A86B" w14:textId="77777777" w:rsidR="00B43A78" w:rsidRPr="004A5EAF" w:rsidRDefault="00B43A78" w:rsidP="003648C3">
            <w:pPr>
              <w:jc w:val="center"/>
            </w:pPr>
          </w:p>
        </w:tc>
        <w:tc>
          <w:tcPr>
            <w:tcW w:w="1111" w:type="dxa"/>
          </w:tcPr>
          <w:p w14:paraId="671EB369" w14:textId="77777777" w:rsidR="00B43A78" w:rsidRPr="004A5EAF" w:rsidRDefault="00B43A78" w:rsidP="003648C3">
            <w:pPr>
              <w:jc w:val="center"/>
            </w:pPr>
          </w:p>
        </w:tc>
        <w:tc>
          <w:tcPr>
            <w:tcW w:w="1192" w:type="dxa"/>
          </w:tcPr>
          <w:p w14:paraId="1FD5B93C" w14:textId="77777777" w:rsidR="00B43A78" w:rsidRPr="004A5EAF" w:rsidRDefault="00B43A78" w:rsidP="003648C3">
            <w:pPr>
              <w:jc w:val="center"/>
            </w:pPr>
          </w:p>
        </w:tc>
        <w:tc>
          <w:tcPr>
            <w:tcW w:w="1008" w:type="dxa"/>
          </w:tcPr>
          <w:p w14:paraId="652FF076" w14:textId="77777777" w:rsidR="00B43A78" w:rsidRPr="004A5EAF" w:rsidRDefault="00B43A78" w:rsidP="003648C3">
            <w:pPr>
              <w:jc w:val="center"/>
            </w:pPr>
          </w:p>
        </w:tc>
      </w:tr>
      <w:tr w:rsidR="00B43A78" w:rsidRPr="004A5EAF" w14:paraId="2B48538F" w14:textId="77777777" w:rsidTr="003648C3">
        <w:trPr>
          <w:jc w:val="center"/>
        </w:trPr>
        <w:tc>
          <w:tcPr>
            <w:tcW w:w="2175" w:type="dxa"/>
          </w:tcPr>
          <w:p w14:paraId="671448F7" w14:textId="77777777" w:rsidR="00B43A78" w:rsidRPr="004A5EAF" w:rsidRDefault="00B43A78" w:rsidP="003648C3">
            <w:pPr>
              <w:rPr>
                <w:i/>
              </w:rPr>
            </w:pPr>
            <w:r w:rsidRPr="004A5EAF">
              <w:t>1.3. pašvaldību budžets</w:t>
            </w:r>
          </w:p>
        </w:tc>
        <w:tc>
          <w:tcPr>
            <w:tcW w:w="1123" w:type="dxa"/>
          </w:tcPr>
          <w:p w14:paraId="1040069F" w14:textId="77777777" w:rsidR="00B43A78" w:rsidRPr="004A5EAF" w:rsidRDefault="00B43A78" w:rsidP="003648C3">
            <w:pPr>
              <w:jc w:val="center"/>
            </w:pPr>
          </w:p>
        </w:tc>
        <w:tc>
          <w:tcPr>
            <w:tcW w:w="1414" w:type="dxa"/>
          </w:tcPr>
          <w:p w14:paraId="034AC1E8" w14:textId="77777777" w:rsidR="00B43A78" w:rsidRPr="004A5EAF" w:rsidRDefault="00B43A78" w:rsidP="003648C3">
            <w:pPr>
              <w:jc w:val="center"/>
            </w:pPr>
          </w:p>
        </w:tc>
        <w:tc>
          <w:tcPr>
            <w:tcW w:w="1111" w:type="dxa"/>
          </w:tcPr>
          <w:p w14:paraId="65FD80F9" w14:textId="77777777" w:rsidR="00B43A78" w:rsidRPr="004A5EAF" w:rsidRDefault="00B43A78" w:rsidP="003648C3">
            <w:pPr>
              <w:jc w:val="center"/>
            </w:pPr>
          </w:p>
        </w:tc>
        <w:tc>
          <w:tcPr>
            <w:tcW w:w="1209" w:type="dxa"/>
          </w:tcPr>
          <w:p w14:paraId="4949CA4B" w14:textId="77777777" w:rsidR="00B43A78" w:rsidRPr="004A5EAF" w:rsidRDefault="00B43A78" w:rsidP="003648C3">
            <w:pPr>
              <w:jc w:val="center"/>
            </w:pPr>
          </w:p>
        </w:tc>
        <w:tc>
          <w:tcPr>
            <w:tcW w:w="1111" w:type="dxa"/>
          </w:tcPr>
          <w:p w14:paraId="2EE27710" w14:textId="77777777" w:rsidR="00B43A78" w:rsidRPr="004A5EAF" w:rsidRDefault="00B43A78" w:rsidP="003648C3">
            <w:pPr>
              <w:jc w:val="center"/>
            </w:pPr>
          </w:p>
        </w:tc>
        <w:tc>
          <w:tcPr>
            <w:tcW w:w="1192" w:type="dxa"/>
          </w:tcPr>
          <w:p w14:paraId="40FE7628" w14:textId="77777777" w:rsidR="00B43A78" w:rsidRPr="004A5EAF" w:rsidRDefault="00B43A78" w:rsidP="003648C3">
            <w:pPr>
              <w:jc w:val="center"/>
            </w:pPr>
          </w:p>
        </w:tc>
        <w:tc>
          <w:tcPr>
            <w:tcW w:w="1008" w:type="dxa"/>
          </w:tcPr>
          <w:p w14:paraId="7D07B219" w14:textId="77777777" w:rsidR="00B43A78" w:rsidRPr="004A5EAF" w:rsidRDefault="00B43A78" w:rsidP="003648C3">
            <w:pPr>
              <w:jc w:val="center"/>
            </w:pPr>
          </w:p>
        </w:tc>
      </w:tr>
      <w:tr w:rsidR="00B43A78" w:rsidRPr="004A5EAF" w14:paraId="06423920" w14:textId="77777777" w:rsidTr="003648C3">
        <w:trPr>
          <w:jc w:val="center"/>
        </w:trPr>
        <w:tc>
          <w:tcPr>
            <w:tcW w:w="2175" w:type="dxa"/>
          </w:tcPr>
          <w:p w14:paraId="10BA4CC6" w14:textId="77777777" w:rsidR="00B43A78" w:rsidRPr="004A5EAF" w:rsidRDefault="00B43A78" w:rsidP="003648C3">
            <w:r w:rsidRPr="004A5EAF">
              <w:t>2. Budžeta izdevumi:</w:t>
            </w:r>
          </w:p>
        </w:tc>
        <w:tc>
          <w:tcPr>
            <w:tcW w:w="1123" w:type="dxa"/>
          </w:tcPr>
          <w:p w14:paraId="562007C4" w14:textId="77777777" w:rsidR="00B43A78" w:rsidRPr="004A5EAF" w:rsidRDefault="00B43A78" w:rsidP="003648C3">
            <w:pPr>
              <w:jc w:val="center"/>
              <w:rPr>
                <w:b/>
              </w:rPr>
            </w:pPr>
            <w:r w:rsidRPr="004A5EAF">
              <w:rPr>
                <w:b/>
              </w:rPr>
              <w:t>0</w:t>
            </w:r>
          </w:p>
        </w:tc>
        <w:tc>
          <w:tcPr>
            <w:tcW w:w="1414" w:type="dxa"/>
          </w:tcPr>
          <w:p w14:paraId="25D6E11E" w14:textId="77777777" w:rsidR="00B43A78" w:rsidRPr="004A5EAF" w:rsidRDefault="00B43A78" w:rsidP="003648C3">
            <w:pPr>
              <w:jc w:val="center"/>
              <w:rPr>
                <w:b/>
              </w:rPr>
            </w:pPr>
            <w:r w:rsidRPr="004A5EAF">
              <w:rPr>
                <w:b/>
              </w:rPr>
              <w:t>0</w:t>
            </w:r>
          </w:p>
        </w:tc>
        <w:tc>
          <w:tcPr>
            <w:tcW w:w="1111" w:type="dxa"/>
          </w:tcPr>
          <w:p w14:paraId="3F86F97D" w14:textId="77777777" w:rsidR="00B43A78" w:rsidRPr="004A5EAF" w:rsidRDefault="00B43A78" w:rsidP="003648C3">
            <w:pPr>
              <w:jc w:val="center"/>
              <w:rPr>
                <w:b/>
              </w:rPr>
            </w:pPr>
            <w:r w:rsidRPr="004A5EAF">
              <w:rPr>
                <w:b/>
              </w:rPr>
              <w:t>0</w:t>
            </w:r>
          </w:p>
        </w:tc>
        <w:tc>
          <w:tcPr>
            <w:tcW w:w="1209" w:type="dxa"/>
          </w:tcPr>
          <w:p w14:paraId="381E1617" w14:textId="77777777" w:rsidR="00B43A78" w:rsidRPr="004A5EAF" w:rsidRDefault="00B43A78" w:rsidP="003648C3">
            <w:pPr>
              <w:jc w:val="center"/>
              <w:rPr>
                <w:b/>
              </w:rPr>
            </w:pPr>
            <w:r w:rsidRPr="004A5EAF">
              <w:rPr>
                <w:b/>
              </w:rPr>
              <w:t>0</w:t>
            </w:r>
          </w:p>
        </w:tc>
        <w:tc>
          <w:tcPr>
            <w:tcW w:w="1111" w:type="dxa"/>
          </w:tcPr>
          <w:p w14:paraId="7542367C" w14:textId="77777777" w:rsidR="00B43A78" w:rsidRPr="004A5EAF" w:rsidRDefault="00B43A78" w:rsidP="003648C3">
            <w:pPr>
              <w:jc w:val="center"/>
              <w:rPr>
                <w:b/>
              </w:rPr>
            </w:pPr>
            <w:r w:rsidRPr="004A5EAF">
              <w:rPr>
                <w:b/>
              </w:rPr>
              <w:t>0</w:t>
            </w:r>
          </w:p>
        </w:tc>
        <w:tc>
          <w:tcPr>
            <w:tcW w:w="1192" w:type="dxa"/>
          </w:tcPr>
          <w:p w14:paraId="083133DA" w14:textId="77777777" w:rsidR="00B43A78" w:rsidRPr="004A5EAF" w:rsidRDefault="00B43A78" w:rsidP="003648C3">
            <w:pPr>
              <w:jc w:val="center"/>
              <w:rPr>
                <w:b/>
              </w:rPr>
            </w:pPr>
            <w:r w:rsidRPr="004A5EAF">
              <w:rPr>
                <w:b/>
              </w:rPr>
              <w:t>0</w:t>
            </w:r>
          </w:p>
        </w:tc>
        <w:tc>
          <w:tcPr>
            <w:tcW w:w="1008" w:type="dxa"/>
          </w:tcPr>
          <w:p w14:paraId="629EEEF6" w14:textId="77777777" w:rsidR="00B43A78" w:rsidRPr="004A5EAF" w:rsidRDefault="00B43A78" w:rsidP="003648C3">
            <w:pPr>
              <w:jc w:val="center"/>
              <w:rPr>
                <w:b/>
              </w:rPr>
            </w:pPr>
            <w:r w:rsidRPr="004A5EAF">
              <w:rPr>
                <w:b/>
              </w:rPr>
              <w:t>0</w:t>
            </w:r>
          </w:p>
        </w:tc>
      </w:tr>
      <w:tr w:rsidR="00B43A78" w:rsidRPr="004A5EAF" w14:paraId="00128DE3" w14:textId="77777777" w:rsidTr="003648C3">
        <w:trPr>
          <w:jc w:val="center"/>
        </w:trPr>
        <w:tc>
          <w:tcPr>
            <w:tcW w:w="2175" w:type="dxa"/>
          </w:tcPr>
          <w:p w14:paraId="3596275D" w14:textId="77777777" w:rsidR="00B43A78" w:rsidRPr="004A5EAF" w:rsidRDefault="00B43A78" w:rsidP="003648C3">
            <w:r w:rsidRPr="004A5EAF">
              <w:t>2.1. valsts pamatbudžets</w:t>
            </w:r>
          </w:p>
        </w:tc>
        <w:tc>
          <w:tcPr>
            <w:tcW w:w="1123" w:type="dxa"/>
          </w:tcPr>
          <w:p w14:paraId="5C70F11A" w14:textId="77777777" w:rsidR="00B43A78" w:rsidRPr="004A5EAF" w:rsidRDefault="00B43A78" w:rsidP="003648C3">
            <w:pPr>
              <w:jc w:val="center"/>
              <w:rPr>
                <w:i/>
              </w:rPr>
            </w:pPr>
            <w:r w:rsidRPr="004A5EAF">
              <w:rPr>
                <w:i/>
              </w:rPr>
              <w:t>0</w:t>
            </w:r>
          </w:p>
        </w:tc>
        <w:tc>
          <w:tcPr>
            <w:tcW w:w="1414" w:type="dxa"/>
          </w:tcPr>
          <w:p w14:paraId="73DE55DF" w14:textId="77777777" w:rsidR="00B43A78" w:rsidRPr="004A5EAF" w:rsidRDefault="00B43A78" w:rsidP="003648C3">
            <w:pPr>
              <w:jc w:val="center"/>
              <w:rPr>
                <w:i/>
              </w:rPr>
            </w:pPr>
            <w:r w:rsidRPr="004A5EAF">
              <w:rPr>
                <w:i/>
              </w:rPr>
              <w:t>0</w:t>
            </w:r>
          </w:p>
        </w:tc>
        <w:tc>
          <w:tcPr>
            <w:tcW w:w="1111" w:type="dxa"/>
          </w:tcPr>
          <w:p w14:paraId="33914DA4" w14:textId="77777777" w:rsidR="00B43A78" w:rsidRPr="004A5EAF" w:rsidRDefault="00B43A78" w:rsidP="003648C3">
            <w:pPr>
              <w:jc w:val="center"/>
              <w:rPr>
                <w:i/>
              </w:rPr>
            </w:pPr>
            <w:r w:rsidRPr="004A5EAF">
              <w:rPr>
                <w:i/>
              </w:rPr>
              <w:t>0</w:t>
            </w:r>
          </w:p>
        </w:tc>
        <w:tc>
          <w:tcPr>
            <w:tcW w:w="1209" w:type="dxa"/>
          </w:tcPr>
          <w:p w14:paraId="685C4958" w14:textId="77777777" w:rsidR="00B43A78" w:rsidRPr="004A5EAF" w:rsidRDefault="00B43A78" w:rsidP="003648C3">
            <w:pPr>
              <w:jc w:val="center"/>
              <w:rPr>
                <w:i/>
              </w:rPr>
            </w:pPr>
            <w:r w:rsidRPr="004A5EAF">
              <w:rPr>
                <w:i/>
              </w:rPr>
              <w:t>0</w:t>
            </w:r>
          </w:p>
        </w:tc>
        <w:tc>
          <w:tcPr>
            <w:tcW w:w="1111" w:type="dxa"/>
          </w:tcPr>
          <w:p w14:paraId="37769AB9" w14:textId="77777777" w:rsidR="00B43A78" w:rsidRPr="004A5EAF" w:rsidRDefault="00B43A78" w:rsidP="003648C3">
            <w:pPr>
              <w:jc w:val="center"/>
              <w:rPr>
                <w:i/>
              </w:rPr>
            </w:pPr>
            <w:r w:rsidRPr="004A5EAF">
              <w:rPr>
                <w:i/>
              </w:rPr>
              <w:t>0</w:t>
            </w:r>
          </w:p>
        </w:tc>
        <w:tc>
          <w:tcPr>
            <w:tcW w:w="1192" w:type="dxa"/>
          </w:tcPr>
          <w:p w14:paraId="5C1A784F" w14:textId="77777777" w:rsidR="00B43A78" w:rsidRPr="004A5EAF" w:rsidRDefault="00B43A78" w:rsidP="003648C3">
            <w:pPr>
              <w:jc w:val="center"/>
              <w:rPr>
                <w:i/>
              </w:rPr>
            </w:pPr>
            <w:r w:rsidRPr="004A5EAF">
              <w:rPr>
                <w:i/>
              </w:rPr>
              <w:t>0</w:t>
            </w:r>
          </w:p>
        </w:tc>
        <w:tc>
          <w:tcPr>
            <w:tcW w:w="1008" w:type="dxa"/>
          </w:tcPr>
          <w:p w14:paraId="7E864503" w14:textId="77777777" w:rsidR="00B43A78" w:rsidRPr="004A5EAF" w:rsidRDefault="00B43A78" w:rsidP="003648C3">
            <w:pPr>
              <w:jc w:val="center"/>
              <w:rPr>
                <w:i/>
              </w:rPr>
            </w:pPr>
            <w:r w:rsidRPr="004A5EAF">
              <w:rPr>
                <w:i/>
              </w:rPr>
              <w:t>0</w:t>
            </w:r>
          </w:p>
        </w:tc>
      </w:tr>
      <w:tr w:rsidR="00B43A78" w:rsidRPr="004A5EAF" w14:paraId="6473E2CB" w14:textId="77777777" w:rsidTr="003648C3">
        <w:trPr>
          <w:jc w:val="center"/>
        </w:trPr>
        <w:tc>
          <w:tcPr>
            <w:tcW w:w="2175" w:type="dxa"/>
          </w:tcPr>
          <w:p w14:paraId="62D9F270" w14:textId="77777777" w:rsidR="00B43A78" w:rsidRPr="004A5EAF" w:rsidRDefault="00B43A78" w:rsidP="003648C3">
            <w:r w:rsidRPr="004A5EAF">
              <w:t>2.2. valsts speciālais budžets</w:t>
            </w:r>
          </w:p>
        </w:tc>
        <w:tc>
          <w:tcPr>
            <w:tcW w:w="1123" w:type="dxa"/>
          </w:tcPr>
          <w:p w14:paraId="5E369CA3" w14:textId="77777777" w:rsidR="00B43A78" w:rsidRPr="004A5EAF" w:rsidRDefault="00B43A78" w:rsidP="003648C3">
            <w:pPr>
              <w:jc w:val="center"/>
            </w:pPr>
          </w:p>
        </w:tc>
        <w:tc>
          <w:tcPr>
            <w:tcW w:w="1414" w:type="dxa"/>
          </w:tcPr>
          <w:p w14:paraId="7023FA8B" w14:textId="77777777" w:rsidR="00B43A78" w:rsidRPr="004A5EAF" w:rsidRDefault="00B43A78" w:rsidP="003648C3">
            <w:pPr>
              <w:jc w:val="center"/>
            </w:pPr>
          </w:p>
        </w:tc>
        <w:tc>
          <w:tcPr>
            <w:tcW w:w="1111" w:type="dxa"/>
          </w:tcPr>
          <w:p w14:paraId="2F4FA4D4" w14:textId="77777777" w:rsidR="00B43A78" w:rsidRPr="004A5EAF" w:rsidRDefault="00B43A78" w:rsidP="003648C3">
            <w:pPr>
              <w:jc w:val="center"/>
            </w:pPr>
          </w:p>
        </w:tc>
        <w:tc>
          <w:tcPr>
            <w:tcW w:w="1209" w:type="dxa"/>
          </w:tcPr>
          <w:p w14:paraId="1D731616" w14:textId="77777777" w:rsidR="00B43A78" w:rsidRPr="004A5EAF" w:rsidRDefault="00B43A78" w:rsidP="003648C3">
            <w:pPr>
              <w:jc w:val="center"/>
            </w:pPr>
          </w:p>
        </w:tc>
        <w:tc>
          <w:tcPr>
            <w:tcW w:w="1111" w:type="dxa"/>
          </w:tcPr>
          <w:p w14:paraId="6322FEE4" w14:textId="77777777" w:rsidR="00B43A78" w:rsidRPr="004A5EAF" w:rsidRDefault="00B43A78" w:rsidP="003648C3">
            <w:pPr>
              <w:jc w:val="center"/>
            </w:pPr>
          </w:p>
        </w:tc>
        <w:tc>
          <w:tcPr>
            <w:tcW w:w="1192" w:type="dxa"/>
          </w:tcPr>
          <w:p w14:paraId="509953CF" w14:textId="77777777" w:rsidR="00B43A78" w:rsidRPr="004A5EAF" w:rsidRDefault="00B43A78" w:rsidP="003648C3">
            <w:pPr>
              <w:jc w:val="center"/>
            </w:pPr>
          </w:p>
        </w:tc>
        <w:tc>
          <w:tcPr>
            <w:tcW w:w="1008" w:type="dxa"/>
          </w:tcPr>
          <w:p w14:paraId="25310404" w14:textId="77777777" w:rsidR="00B43A78" w:rsidRPr="004A5EAF" w:rsidRDefault="00B43A78" w:rsidP="003648C3">
            <w:pPr>
              <w:jc w:val="center"/>
            </w:pPr>
          </w:p>
        </w:tc>
      </w:tr>
      <w:tr w:rsidR="00B43A78" w:rsidRPr="004A5EAF" w14:paraId="3FFFDFD9" w14:textId="77777777" w:rsidTr="003648C3">
        <w:trPr>
          <w:jc w:val="center"/>
        </w:trPr>
        <w:tc>
          <w:tcPr>
            <w:tcW w:w="2175" w:type="dxa"/>
          </w:tcPr>
          <w:p w14:paraId="4CD081AD" w14:textId="77777777" w:rsidR="00B43A78" w:rsidRPr="004A5EAF" w:rsidRDefault="00B43A78" w:rsidP="003648C3">
            <w:r w:rsidRPr="004A5EAF">
              <w:t xml:space="preserve">2.3. pašvaldību budžets </w:t>
            </w:r>
          </w:p>
        </w:tc>
        <w:tc>
          <w:tcPr>
            <w:tcW w:w="1123" w:type="dxa"/>
          </w:tcPr>
          <w:p w14:paraId="760BB451" w14:textId="77777777" w:rsidR="00B43A78" w:rsidRPr="004A5EAF" w:rsidRDefault="00B43A78" w:rsidP="003648C3">
            <w:pPr>
              <w:jc w:val="center"/>
            </w:pPr>
          </w:p>
        </w:tc>
        <w:tc>
          <w:tcPr>
            <w:tcW w:w="1414" w:type="dxa"/>
          </w:tcPr>
          <w:p w14:paraId="3A118BE6" w14:textId="77777777" w:rsidR="00B43A78" w:rsidRPr="004A5EAF" w:rsidRDefault="00B43A78" w:rsidP="003648C3">
            <w:pPr>
              <w:jc w:val="center"/>
            </w:pPr>
          </w:p>
        </w:tc>
        <w:tc>
          <w:tcPr>
            <w:tcW w:w="1111" w:type="dxa"/>
          </w:tcPr>
          <w:p w14:paraId="4E30D5CA" w14:textId="77777777" w:rsidR="00B43A78" w:rsidRPr="004A5EAF" w:rsidRDefault="00B43A78" w:rsidP="003648C3">
            <w:pPr>
              <w:jc w:val="center"/>
            </w:pPr>
          </w:p>
        </w:tc>
        <w:tc>
          <w:tcPr>
            <w:tcW w:w="1209" w:type="dxa"/>
          </w:tcPr>
          <w:p w14:paraId="42867B0D" w14:textId="77777777" w:rsidR="00B43A78" w:rsidRPr="004A5EAF" w:rsidRDefault="00B43A78" w:rsidP="003648C3">
            <w:pPr>
              <w:jc w:val="center"/>
            </w:pPr>
          </w:p>
        </w:tc>
        <w:tc>
          <w:tcPr>
            <w:tcW w:w="1111" w:type="dxa"/>
          </w:tcPr>
          <w:p w14:paraId="3C2B854E" w14:textId="77777777" w:rsidR="00B43A78" w:rsidRPr="004A5EAF" w:rsidRDefault="00B43A78" w:rsidP="003648C3">
            <w:pPr>
              <w:jc w:val="center"/>
            </w:pPr>
          </w:p>
        </w:tc>
        <w:tc>
          <w:tcPr>
            <w:tcW w:w="1192" w:type="dxa"/>
          </w:tcPr>
          <w:p w14:paraId="6CA5C42B" w14:textId="77777777" w:rsidR="00B43A78" w:rsidRPr="004A5EAF" w:rsidRDefault="00B43A78" w:rsidP="003648C3">
            <w:pPr>
              <w:jc w:val="center"/>
            </w:pPr>
          </w:p>
        </w:tc>
        <w:tc>
          <w:tcPr>
            <w:tcW w:w="1008" w:type="dxa"/>
          </w:tcPr>
          <w:p w14:paraId="2E63A6B9" w14:textId="77777777" w:rsidR="00B43A78" w:rsidRPr="004A5EAF" w:rsidRDefault="00B43A78" w:rsidP="003648C3">
            <w:pPr>
              <w:jc w:val="center"/>
            </w:pPr>
          </w:p>
        </w:tc>
      </w:tr>
      <w:tr w:rsidR="00B43A78" w:rsidRPr="004A5EAF" w14:paraId="41E8083A" w14:textId="77777777" w:rsidTr="003648C3">
        <w:trPr>
          <w:jc w:val="center"/>
        </w:trPr>
        <w:tc>
          <w:tcPr>
            <w:tcW w:w="2175" w:type="dxa"/>
          </w:tcPr>
          <w:p w14:paraId="563B5D19" w14:textId="77777777" w:rsidR="00B43A78" w:rsidRPr="004A5EAF" w:rsidRDefault="00B43A78" w:rsidP="003648C3">
            <w:r w:rsidRPr="004A5EAF">
              <w:lastRenderedPageBreak/>
              <w:t>3. Finansiālā ietekme:</w:t>
            </w:r>
          </w:p>
        </w:tc>
        <w:tc>
          <w:tcPr>
            <w:tcW w:w="1123" w:type="dxa"/>
            <w:shd w:val="clear" w:color="auto" w:fill="auto"/>
          </w:tcPr>
          <w:p w14:paraId="3E6F7D0C" w14:textId="77777777" w:rsidR="00B43A78" w:rsidRPr="004A5EAF" w:rsidRDefault="00B43A78" w:rsidP="003648C3">
            <w:pPr>
              <w:jc w:val="center"/>
              <w:rPr>
                <w:b/>
              </w:rPr>
            </w:pPr>
            <w:r w:rsidRPr="004A5EAF">
              <w:rPr>
                <w:b/>
              </w:rPr>
              <w:t>0</w:t>
            </w:r>
          </w:p>
        </w:tc>
        <w:tc>
          <w:tcPr>
            <w:tcW w:w="1414" w:type="dxa"/>
          </w:tcPr>
          <w:p w14:paraId="561CFD97" w14:textId="77777777" w:rsidR="00B43A78" w:rsidRPr="004A5EAF" w:rsidRDefault="00B43A78" w:rsidP="003648C3">
            <w:pPr>
              <w:jc w:val="center"/>
              <w:rPr>
                <w:b/>
              </w:rPr>
            </w:pPr>
            <w:r w:rsidRPr="004A5EAF">
              <w:rPr>
                <w:b/>
              </w:rPr>
              <w:t>0</w:t>
            </w:r>
          </w:p>
        </w:tc>
        <w:tc>
          <w:tcPr>
            <w:tcW w:w="1111" w:type="dxa"/>
          </w:tcPr>
          <w:p w14:paraId="31396798" w14:textId="77777777" w:rsidR="00B43A78" w:rsidRPr="004A5EAF" w:rsidRDefault="00B43A78" w:rsidP="003648C3">
            <w:pPr>
              <w:jc w:val="center"/>
              <w:rPr>
                <w:b/>
              </w:rPr>
            </w:pPr>
            <w:r w:rsidRPr="004A5EAF">
              <w:rPr>
                <w:b/>
              </w:rPr>
              <w:t>0</w:t>
            </w:r>
          </w:p>
        </w:tc>
        <w:tc>
          <w:tcPr>
            <w:tcW w:w="1209" w:type="dxa"/>
          </w:tcPr>
          <w:p w14:paraId="0247EE9D" w14:textId="77777777" w:rsidR="00B43A78" w:rsidRPr="004A5EAF" w:rsidRDefault="00B43A78" w:rsidP="003648C3">
            <w:pPr>
              <w:jc w:val="center"/>
              <w:rPr>
                <w:b/>
              </w:rPr>
            </w:pPr>
            <w:r w:rsidRPr="004A5EAF">
              <w:rPr>
                <w:b/>
              </w:rPr>
              <w:t>0</w:t>
            </w:r>
          </w:p>
        </w:tc>
        <w:tc>
          <w:tcPr>
            <w:tcW w:w="1111" w:type="dxa"/>
          </w:tcPr>
          <w:p w14:paraId="1C99BFF3" w14:textId="77777777" w:rsidR="00B43A78" w:rsidRPr="004A5EAF" w:rsidRDefault="00B43A78" w:rsidP="003648C3">
            <w:pPr>
              <w:jc w:val="center"/>
              <w:rPr>
                <w:b/>
              </w:rPr>
            </w:pPr>
            <w:r w:rsidRPr="004A5EAF">
              <w:rPr>
                <w:b/>
              </w:rPr>
              <w:t>0</w:t>
            </w:r>
          </w:p>
        </w:tc>
        <w:tc>
          <w:tcPr>
            <w:tcW w:w="1192" w:type="dxa"/>
          </w:tcPr>
          <w:p w14:paraId="5165889F" w14:textId="77777777" w:rsidR="00B43A78" w:rsidRPr="004A5EAF" w:rsidRDefault="00B43A78" w:rsidP="003648C3">
            <w:pPr>
              <w:jc w:val="center"/>
              <w:rPr>
                <w:b/>
              </w:rPr>
            </w:pPr>
            <w:r w:rsidRPr="004A5EAF">
              <w:rPr>
                <w:b/>
              </w:rPr>
              <w:t>0</w:t>
            </w:r>
          </w:p>
        </w:tc>
        <w:tc>
          <w:tcPr>
            <w:tcW w:w="1008" w:type="dxa"/>
          </w:tcPr>
          <w:p w14:paraId="3F372736" w14:textId="77777777" w:rsidR="00B43A78" w:rsidRPr="004A5EAF" w:rsidRDefault="00B43A78" w:rsidP="003648C3">
            <w:pPr>
              <w:jc w:val="center"/>
              <w:rPr>
                <w:b/>
              </w:rPr>
            </w:pPr>
            <w:r w:rsidRPr="004A5EAF">
              <w:rPr>
                <w:b/>
              </w:rPr>
              <w:t>0</w:t>
            </w:r>
          </w:p>
        </w:tc>
      </w:tr>
      <w:tr w:rsidR="00B43A78" w:rsidRPr="004A5EAF" w14:paraId="5E352BFD" w14:textId="77777777" w:rsidTr="003648C3">
        <w:trPr>
          <w:jc w:val="center"/>
        </w:trPr>
        <w:tc>
          <w:tcPr>
            <w:tcW w:w="2175" w:type="dxa"/>
          </w:tcPr>
          <w:p w14:paraId="7D906917" w14:textId="77777777" w:rsidR="00B43A78" w:rsidRPr="004A5EAF" w:rsidRDefault="00B43A78" w:rsidP="003648C3">
            <w:r w:rsidRPr="004A5EAF">
              <w:t>3.1. valsts pamatbudžets</w:t>
            </w:r>
          </w:p>
        </w:tc>
        <w:tc>
          <w:tcPr>
            <w:tcW w:w="1123" w:type="dxa"/>
            <w:shd w:val="clear" w:color="auto" w:fill="auto"/>
          </w:tcPr>
          <w:p w14:paraId="281C9743" w14:textId="77777777" w:rsidR="00B43A78" w:rsidRPr="004A5EAF" w:rsidRDefault="00B43A78" w:rsidP="003648C3">
            <w:pPr>
              <w:jc w:val="center"/>
              <w:rPr>
                <w:i/>
              </w:rPr>
            </w:pPr>
            <w:r w:rsidRPr="004A5EAF">
              <w:rPr>
                <w:i/>
              </w:rPr>
              <w:t>0</w:t>
            </w:r>
          </w:p>
        </w:tc>
        <w:tc>
          <w:tcPr>
            <w:tcW w:w="1414" w:type="dxa"/>
          </w:tcPr>
          <w:p w14:paraId="6BE39B36" w14:textId="77777777" w:rsidR="00B43A78" w:rsidRPr="004A5EAF" w:rsidRDefault="00B43A78" w:rsidP="003648C3">
            <w:pPr>
              <w:jc w:val="center"/>
              <w:rPr>
                <w:i/>
              </w:rPr>
            </w:pPr>
            <w:r w:rsidRPr="004A5EAF">
              <w:rPr>
                <w:i/>
              </w:rPr>
              <w:t>0</w:t>
            </w:r>
          </w:p>
        </w:tc>
        <w:tc>
          <w:tcPr>
            <w:tcW w:w="1111" w:type="dxa"/>
          </w:tcPr>
          <w:p w14:paraId="15C65776" w14:textId="77777777" w:rsidR="00B43A78" w:rsidRPr="004A5EAF" w:rsidRDefault="00B43A78" w:rsidP="003648C3">
            <w:pPr>
              <w:jc w:val="center"/>
              <w:rPr>
                <w:i/>
              </w:rPr>
            </w:pPr>
            <w:r w:rsidRPr="004A5EAF">
              <w:rPr>
                <w:i/>
              </w:rPr>
              <w:t>0</w:t>
            </w:r>
          </w:p>
        </w:tc>
        <w:tc>
          <w:tcPr>
            <w:tcW w:w="1209" w:type="dxa"/>
          </w:tcPr>
          <w:p w14:paraId="7516129F" w14:textId="77777777" w:rsidR="00B43A78" w:rsidRPr="004A5EAF" w:rsidRDefault="00B43A78" w:rsidP="003648C3">
            <w:pPr>
              <w:jc w:val="center"/>
              <w:rPr>
                <w:i/>
              </w:rPr>
            </w:pPr>
            <w:r w:rsidRPr="004A5EAF">
              <w:rPr>
                <w:i/>
              </w:rPr>
              <w:t>0</w:t>
            </w:r>
          </w:p>
        </w:tc>
        <w:tc>
          <w:tcPr>
            <w:tcW w:w="1111" w:type="dxa"/>
          </w:tcPr>
          <w:p w14:paraId="6AD545E9" w14:textId="77777777" w:rsidR="00B43A78" w:rsidRPr="004A5EAF" w:rsidRDefault="00B43A78" w:rsidP="003648C3">
            <w:pPr>
              <w:jc w:val="center"/>
              <w:rPr>
                <w:i/>
              </w:rPr>
            </w:pPr>
            <w:r w:rsidRPr="004A5EAF">
              <w:rPr>
                <w:i/>
              </w:rPr>
              <w:t>0</w:t>
            </w:r>
          </w:p>
        </w:tc>
        <w:tc>
          <w:tcPr>
            <w:tcW w:w="1192" w:type="dxa"/>
          </w:tcPr>
          <w:p w14:paraId="12E7E812" w14:textId="77777777" w:rsidR="00B43A78" w:rsidRPr="004A5EAF" w:rsidRDefault="00B43A78" w:rsidP="003648C3">
            <w:pPr>
              <w:jc w:val="center"/>
              <w:rPr>
                <w:i/>
              </w:rPr>
            </w:pPr>
            <w:r w:rsidRPr="004A5EAF">
              <w:rPr>
                <w:i/>
              </w:rPr>
              <w:t>0</w:t>
            </w:r>
          </w:p>
        </w:tc>
        <w:tc>
          <w:tcPr>
            <w:tcW w:w="1008" w:type="dxa"/>
          </w:tcPr>
          <w:p w14:paraId="65BEA7B8" w14:textId="77777777" w:rsidR="00B43A78" w:rsidRPr="004A5EAF" w:rsidRDefault="00B43A78" w:rsidP="003648C3">
            <w:pPr>
              <w:jc w:val="center"/>
              <w:rPr>
                <w:i/>
              </w:rPr>
            </w:pPr>
            <w:r w:rsidRPr="004A5EAF">
              <w:rPr>
                <w:i/>
              </w:rPr>
              <w:t>0</w:t>
            </w:r>
          </w:p>
        </w:tc>
      </w:tr>
      <w:tr w:rsidR="00B43A78" w:rsidRPr="004A5EAF" w14:paraId="688D41F6" w14:textId="77777777" w:rsidTr="003648C3">
        <w:trPr>
          <w:jc w:val="center"/>
        </w:trPr>
        <w:tc>
          <w:tcPr>
            <w:tcW w:w="2175" w:type="dxa"/>
          </w:tcPr>
          <w:p w14:paraId="38E56333" w14:textId="77777777" w:rsidR="00B43A78" w:rsidRPr="004A5EAF" w:rsidRDefault="00B43A78" w:rsidP="003648C3">
            <w:r w:rsidRPr="004A5EAF">
              <w:t>3.2. speciālais budžets</w:t>
            </w:r>
          </w:p>
        </w:tc>
        <w:tc>
          <w:tcPr>
            <w:tcW w:w="1123" w:type="dxa"/>
            <w:shd w:val="clear" w:color="auto" w:fill="auto"/>
          </w:tcPr>
          <w:p w14:paraId="531B70A5" w14:textId="77777777" w:rsidR="00B43A78" w:rsidRPr="004A5EAF" w:rsidRDefault="00B43A78" w:rsidP="003648C3">
            <w:pPr>
              <w:jc w:val="center"/>
            </w:pPr>
          </w:p>
        </w:tc>
        <w:tc>
          <w:tcPr>
            <w:tcW w:w="1414" w:type="dxa"/>
          </w:tcPr>
          <w:p w14:paraId="5EBD50F7" w14:textId="77777777" w:rsidR="00B43A78" w:rsidRPr="004A5EAF" w:rsidRDefault="00B43A78" w:rsidP="003648C3">
            <w:pPr>
              <w:jc w:val="center"/>
            </w:pPr>
          </w:p>
        </w:tc>
        <w:tc>
          <w:tcPr>
            <w:tcW w:w="1111" w:type="dxa"/>
          </w:tcPr>
          <w:p w14:paraId="1FD80A92" w14:textId="77777777" w:rsidR="00B43A78" w:rsidRPr="004A5EAF" w:rsidRDefault="00B43A78" w:rsidP="003648C3">
            <w:pPr>
              <w:jc w:val="center"/>
            </w:pPr>
          </w:p>
        </w:tc>
        <w:tc>
          <w:tcPr>
            <w:tcW w:w="1209" w:type="dxa"/>
          </w:tcPr>
          <w:p w14:paraId="3E1A39AA" w14:textId="77777777" w:rsidR="00B43A78" w:rsidRPr="004A5EAF" w:rsidRDefault="00B43A78" w:rsidP="003648C3">
            <w:pPr>
              <w:jc w:val="center"/>
            </w:pPr>
          </w:p>
        </w:tc>
        <w:tc>
          <w:tcPr>
            <w:tcW w:w="1111" w:type="dxa"/>
          </w:tcPr>
          <w:p w14:paraId="0F22F232" w14:textId="77777777" w:rsidR="00B43A78" w:rsidRPr="004A5EAF" w:rsidRDefault="00B43A78" w:rsidP="003648C3">
            <w:pPr>
              <w:jc w:val="center"/>
            </w:pPr>
          </w:p>
        </w:tc>
        <w:tc>
          <w:tcPr>
            <w:tcW w:w="1192" w:type="dxa"/>
          </w:tcPr>
          <w:p w14:paraId="4AB22DEC" w14:textId="77777777" w:rsidR="00B43A78" w:rsidRPr="004A5EAF" w:rsidRDefault="00B43A78" w:rsidP="003648C3">
            <w:pPr>
              <w:jc w:val="center"/>
            </w:pPr>
          </w:p>
        </w:tc>
        <w:tc>
          <w:tcPr>
            <w:tcW w:w="1008" w:type="dxa"/>
          </w:tcPr>
          <w:p w14:paraId="309894B2" w14:textId="77777777" w:rsidR="00B43A78" w:rsidRPr="004A5EAF" w:rsidRDefault="00B43A78" w:rsidP="003648C3">
            <w:pPr>
              <w:jc w:val="center"/>
            </w:pPr>
          </w:p>
        </w:tc>
      </w:tr>
      <w:tr w:rsidR="00B43A78" w:rsidRPr="004A5EAF" w14:paraId="74C23F77" w14:textId="77777777" w:rsidTr="003648C3">
        <w:trPr>
          <w:jc w:val="center"/>
        </w:trPr>
        <w:tc>
          <w:tcPr>
            <w:tcW w:w="2175" w:type="dxa"/>
          </w:tcPr>
          <w:p w14:paraId="0E285748" w14:textId="77777777" w:rsidR="00B43A78" w:rsidRPr="004A5EAF" w:rsidRDefault="00B43A78" w:rsidP="003648C3">
            <w:r w:rsidRPr="004A5EAF">
              <w:t xml:space="preserve">3.3. pašvaldību budžets </w:t>
            </w:r>
          </w:p>
        </w:tc>
        <w:tc>
          <w:tcPr>
            <w:tcW w:w="1123" w:type="dxa"/>
            <w:shd w:val="clear" w:color="auto" w:fill="auto"/>
          </w:tcPr>
          <w:p w14:paraId="3CA921A0" w14:textId="77777777" w:rsidR="00B43A78" w:rsidRPr="004A5EAF" w:rsidRDefault="00B43A78" w:rsidP="003648C3">
            <w:pPr>
              <w:jc w:val="center"/>
            </w:pPr>
          </w:p>
        </w:tc>
        <w:tc>
          <w:tcPr>
            <w:tcW w:w="1414" w:type="dxa"/>
          </w:tcPr>
          <w:p w14:paraId="3F7BC101" w14:textId="77777777" w:rsidR="00B43A78" w:rsidRPr="004A5EAF" w:rsidRDefault="00B43A78" w:rsidP="003648C3">
            <w:pPr>
              <w:jc w:val="center"/>
            </w:pPr>
          </w:p>
        </w:tc>
        <w:tc>
          <w:tcPr>
            <w:tcW w:w="1111" w:type="dxa"/>
          </w:tcPr>
          <w:p w14:paraId="09A820F4" w14:textId="77777777" w:rsidR="00B43A78" w:rsidRPr="004A5EAF" w:rsidRDefault="00B43A78" w:rsidP="003648C3">
            <w:pPr>
              <w:jc w:val="center"/>
            </w:pPr>
          </w:p>
        </w:tc>
        <w:tc>
          <w:tcPr>
            <w:tcW w:w="1209" w:type="dxa"/>
          </w:tcPr>
          <w:p w14:paraId="1204DF19" w14:textId="77777777" w:rsidR="00B43A78" w:rsidRPr="004A5EAF" w:rsidRDefault="00B43A78" w:rsidP="003648C3">
            <w:pPr>
              <w:jc w:val="center"/>
            </w:pPr>
          </w:p>
        </w:tc>
        <w:tc>
          <w:tcPr>
            <w:tcW w:w="1111" w:type="dxa"/>
          </w:tcPr>
          <w:p w14:paraId="5FEF8D3C" w14:textId="77777777" w:rsidR="00B43A78" w:rsidRPr="004A5EAF" w:rsidRDefault="00B43A78" w:rsidP="003648C3">
            <w:pPr>
              <w:jc w:val="center"/>
            </w:pPr>
          </w:p>
        </w:tc>
        <w:tc>
          <w:tcPr>
            <w:tcW w:w="1192" w:type="dxa"/>
          </w:tcPr>
          <w:p w14:paraId="040A17C2" w14:textId="77777777" w:rsidR="00B43A78" w:rsidRPr="004A5EAF" w:rsidRDefault="00B43A78" w:rsidP="003648C3">
            <w:pPr>
              <w:jc w:val="center"/>
            </w:pPr>
          </w:p>
        </w:tc>
        <w:tc>
          <w:tcPr>
            <w:tcW w:w="1008" w:type="dxa"/>
          </w:tcPr>
          <w:p w14:paraId="123E229B" w14:textId="77777777" w:rsidR="00B43A78" w:rsidRPr="004A5EAF" w:rsidRDefault="00B43A78" w:rsidP="003648C3">
            <w:pPr>
              <w:jc w:val="center"/>
            </w:pPr>
          </w:p>
        </w:tc>
      </w:tr>
      <w:tr w:rsidR="00B43A78" w:rsidRPr="004A5EAF" w14:paraId="77BFBDF8" w14:textId="77777777" w:rsidTr="003648C3">
        <w:trPr>
          <w:jc w:val="center"/>
        </w:trPr>
        <w:tc>
          <w:tcPr>
            <w:tcW w:w="2175" w:type="dxa"/>
            <w:vMerge w:val="restart"/>
          </w:tcPr>
          <w:p w14:paraId="5B09AA0C" w14:textId="77777777" w:rsidR="00B43A78" w:rsidRPr="004A5EAF" w:rsidRDefault="00B43A78" w:rsidP="003648C3">
            <w:r w:rsidRPr="004A5EAF">
              <w:t>4. Finanšu līdzekļi papildu izdevumu finansēšanai (kompensējošu izdevumu samazinājumu norāda ar „+” zīmi)</w:t>
            </w:r>
          </w:p>
        </w:tc>
        <w:tc>
          <w:tcPr>
            <w:tcW w:w="1123" w:type="dxa"/>
            <w:vMerge w:val="restart"/>
          </w:tcPr>
          <w:p w14:paraId="1CCD64E7" w14:textId="77777777" w:rsidR="00B43A78" w:rsidRPr="004A5EAF" w:rsidRDefault="00B43A78" w:rsidP="003648C3">
            <w:pPr>
              <w:jc w:val="center"/>
              <w:rPr>
                <w:i/>
              </w:rPr>
            </w:pPr>
            <w:r w:rsidRPr="004A5EAF">
              <w:t>X</w:t>
            </w:r>
          </w:p>
        </w:tc>
        <w:tc>
          <w:tcPr>
            <w:tcW w:w="1414" w:type="dxa"/>
          </w:tcPr>
          <w:p w14:paraId="0EA4C3E5" w14:textId="77777777" w:rsidR="00B43A78" w:rsidRPr="004A5EAF" w:rsidRDefault="00B43A78" w:rsidP="003648C3">
            <w:pPr>
              <w:jc w:val="center"/>
            </w:pPr>
            <w:r w:rsidRPr="004A5EAF">
              <w:t>0</w:t>
            </w:r>
          </w:p>
        </w:tc>
        <w:tc>
          <w:tcPr>
            <w:tcW w:w="1111" w:type="dxa"/>
          </w:tcPr>
          <w:p w14:paraId="61FBD0BA" w14:textId="77777777" w:rsidR="00B43A78" w:rsidRPr="004A5EAF" w:rsidRDefault="00B43A78" w:rsidP="003648C3">
            <w:pPr>
              <w:jc w:val="center"/>
            </w:pPr>
            <w:r w:rsidRPr="004A5EAF">
              <w:t>0</w:t>
            </w:r>
          </w:p>
        </w:tc>
        <w:tc>
          <w:tcPr>
            <w:tcW w:w="1209" w:type="dxa"/>
          </w:tcPr>
          <w:p w14:paraId="148353AD" w14:textId="77777777" w:rsidR="00B43A78" w:rsidRPr="004A5EAF" w:rsidRDefault="00B43A78" w:rsidP="003648C3">
            <w:pPr>
              <w:jc w:val="center"/>
            </w:pPr>
            <w:r w:rsidRPr="004A5EAF">
              <w:t>0</w:t>
            </w:r>
          </w:p>
        </w:tc>
        <w:tc>
          <w:tcPr>
            <w:tcW w:w="1111" w:type="dxa"/>
          </w:tcPr>
          <w:p w14:paraId="0D2DE11A" w14:textId="77777777" w:rsidR="00B43A78" w:rsidRPr="004A5EAF" w:rsidRDefault="00B43A78" w:rsidP="003648C3">
            <w:pPr>
              <w:jc w:val="center"/>
            </w:pPr>
            <w:r w:rsidRPr="004A5EAF">
              <w:t>0</w:t>
            </w:r>
          </w:p>
        </w:tc>
        <w:tc>
          <w:tcPr>
            <w:tcW w:w="1192" w:type="dxa"/>
          </w:tcPr>
          <w:p w14:paraId="34216056" w14:textId="77777777" w:rsidR="00B43A78" w:rsidRPr="004A5EAF" w:rsidRDefault="00B43A78" w:rsidP="003648C3">
            <w:pPr>
              <w:jc w:val="center"/>
            </w:pPr>
            <w:r w:rsidRPr="004A5EAF">
              <w:t>0</w:t>
            </w:r>
          </w:p>
        </w:tc>
        <w:tc>
          <w:tcPr>
            <w:tcW w:w="1008" w:type="dxa"/>
          </w:tcPr>
          <w:p w14:paraId="7F799E6D" w14:textId="77777777" w:rsidR="00B43A78" w:rsidRPr="004A5EAF" w:rsidRDefault="00B43A78" w:rsidP="003648C3">
            <w:pPr>
              <w:jc w:val="center"/>
            </w:pPr>
            <w:r w:rsidRPr="004A5EAF">
              <w:t>0</w:t>
            </w:r>
          </w:p>
        </w:tc>
      </w:tr>
      <w:tr w:rsidR="00B43A78" w:rsidRPr="004A5EAF" w14:paraId="580A005F" w14:textId="77777777" w:rsidTr="003648C3">
        <w:trPr>
          <w:jc w:val="center"/>
        </w:trPr>
        <w:tc>
          <w:tcPr>
            <w:tcW w:w="2175" w:type="dxa"/>
            <w:vMerge/>
          </w:tcPr>
          <w:p w14:paraId="11E7D566" w14:textId="77777777" w:rsidR="00B43A78" w:rsidRPr="004A5EAF" w:rsidRDefault="00B43A78" w:rsidP="003648C3"/>
        </w:tc>
        <w:tc>
          <w:tcPr>
            <w:tcW w:w="1123" w:type="dxa"/>
            <w:vMerge/>
          </w:tcPr>
          <w:p w14:paraId="05F258BD" w14:textId="77777777" w:rsidR="00B43A78" w:rsidRPr="004A5EAF" w:rsidRDefault="00B43A78" w:rsidP="003648C3">
            <w:pPr>
              <w:jc w:val="center"/>
              <w:rPr>
                <w:i/>
              </w:rPr>
            </w:pPr>
          </w:p>
        </w:tc>
        <w:tc>
          <w:tcPr>
            <w:tcW w:w="1414" w:type="dxa"/>
          </w:tcPr>
          <w:p w14:paraId="3D43045B" w14:textId="77777777" w:rsidR="00B43A78" w:rsidRPr="004A5EAF" w:rsidRDefault="00B43A78" w:rsidP="003648C3">
            <w:pPr>
              <w:jc w:val="center"/>
            </w:pPr>
          </w:p>
        </w:tc>
        <w:tc>
          <w:tcPr>
            <w:tcW w:w="1111" w:type="dxa"/>
          </w:tcPr>
          <w:p w14:paraId="4F0AEBA7" w14:textId="77777777" w:rsidR="00B43A78" w:rsidRPr="004A5EAF" w:rsidRDefault="00B43A78" w:rsidP="003648C3">
            <w:pPr>
              <w:jc w:val="center"/>
            </w:pPr>
          </w:p>
        </w:tc>
        <w:tc>
          <w:tcPr>
            <w:tcW w:w="1209" w:type="dxa"/>
          </w:tcPr>
          <w:p w14:paraId="70FF4247" w14:textId="77777777" w:rsidR="00B43A78" w:rsidRPr="004A5EAF" w:rsidRDefault="00B43A78" w:rsidP="003648C3">
            <w:pPr>
              <w:jc w:val="center"/>
            </w:pPr>
          </w:p>
        </w:tc>
        <w:tc>
          <w:tcPr>
            <w:tcW w:w="1111" w:type="dxa"/>
          </w:tcPr>
          <w:p w14:paraId="0B9E8B1E" w14:textId="77777777" w:rsidR="00B43A78" w:rsidRPr="004A5EAF" w:rsidRDefault="00B43A78" w:rsidP="003648C3">
            <w:pPr>
              <w:jc w:val="center"/>
            </w:pPr>
          </w:p>
        </w:tc>
        <w:tc>
          <w:tcPr>
            <w:tcW w:w="1192" w:type="dxa"/>
          </w:tcPr>
          <w:p w14:paraId="5C4BB1F9" w14:textId="77777777" w:rsidR="00B43A78" w:rsidRPr="004A5EAF" w:rsidRDefault="00B43A78" w:rsidP="003648C3">
            <w:pPr>
              <w:jc w:val="center"/>
            </w:pPr>
          </w:p>
        </w:tc>
        <w:tc>
          <w:tcPr>
            <w:tcW w:w="1008" w:type="dxa"/>
          </w:tcPr>
          <w:p w14:paraId="5EF78083" w14:textId="77777777" w:rsidR="00B43A78" w:rsidRPr="004A5EAF" w:rsidRDefault="00B43A78" w:rsidP="003648C3">
            <w:pPr>
              <w:jc w:val="center"/>
            </w:pPr>
          </w:p>
        </w:tc>
      </w:tr>
      <w:tr w:rsidR="00B43A78" w:rsidRPr="004A5EAF" w14:paraId="6F1B47AA" w14:textId="77777777" w:rsidTr="003648C3">
        <w:trPr>
          <w:jc w:val="center"/>
        </w:trPr>
        <w:tc>
          <w:tcPr>
            <w:tcW w:w="2175" w:type="dxa"/>
            <w:vMerge/>
          </w:tcPr>
          <w:p w14:paraId="12BD341A" w14:textId="77777777" w:rsidR="00B43A78" w:rsidRPr="004A5EAF" w:rsidRDefault="00B43A78" w:rsidP="003648C3"/>
        </w:tc>
        <w:tc>
          <w:tcPr>
            <w:tcW w:w="1123" w:type="dxa"/>
            <w:vMerge/>
          </w:tcPr>
          <w:p w14:paraId="7F847905" w14:textId="77777777" w:rsidR="00B43A78" w:rsidRPr="004A5EAF" w:rsidRDefault="00B43A78" w:rsidP="003648C3">
            <w:pPr>
              <w:jc w:val="center"/>
              <w:rPr>
                <w:i/>
              </w:rPr>
            </w:pPr>
          </w:p>
        </w:tc>
        <w:tc>
          <w:tcPr>
            <w:tcW w:w="1414" w:type="dxa"/>
          </w:tcPr>
          <w:p w14:paraId="1823C222" w14:textId="77777777" w:rsidR="00B43A78" w:rsidRPr="004A5EAF" w:rsidRDefault="00B43A78" w:rsidP="003648C3">
            <w:pPr>
              <w:jc w:val="center"/>
            </w:pPr>
          </w:p>
          <w:p w14:paraId="2EDB5C02" w14:textId="77777777" w:rsidR="00B43A78" w:rsidRPr="004A5EAF" w:rsidRDefault="00B43A78" w:rsidP="003648C3">
            <w:pPr>
              <w:jc w:val="center"/>
            </w:pPr>
          </w:p>
        </w:tc>
        <w:tc>
          <w:tcPr>
            <w:tcW w:w="1111" w:type="dxa"/>
          </w:tcPr>
          <w:p w14:paraId="30658169" w14:textId="77777777" w:rsidR="00B43A78" w:rsidRPr="004A5EAF" w:rsidRDefault="00B43A78" w:rsidP="003648C3">
            <w:pPr>
              <w:jc w:val="center"/>
            </w:pPr>
          </w:p>
        </w:tc>
        <w:tc>
          <w:tcPr>
            <w:tcW w:w="1209" w:type="dxa"/>
          </w:tcPr>
          <w:p w14:paraId="412253F7" w14:textId="77777777" w:rsidR="00B43A78" w:rsidRPr="004A5EAF" w:rsidRDefault="00B43A78" w:rsidP="003648C3">
            <w:pPr>
              <w:jc w:val="center"/>
            </w:pPr>
          </w:p>
        </w:tc>
        <w:tc>
          <w:tcPr>
            <w:tcW w:w="1111" w:type="dxa"/>
          </w:tcPr>
          <w:p w14:paraId="5CFBF4C2" w14:textId="77777777" w:rsidR="00B43A78" w:rsidRPr="004A5EAF" w:rsidRDefault="00B43A78" w:rsidP="003648C3">
            <w:pPr>
              <w:jc w:val="center"/>
            </w:pPr>
          </w:p>
        </w:tc>
        <w:tc>
          <w:tcPr>
            <w:tcW w:w="1192" w:type="dxa"/>
          </w:tcPr>
          <w:p w14:paraId="48E9A200" w14:textId="77777777" w:rsidR="00B43A78" w:rsidRPr="004A5EAF" w:rsidRDefault="00B43A78" w:rsidP="003648C3">
            <w:pPr>
              <w:jc w:val="center"/>
            </w:pPr>
          </w:p>
        </w:tc>
        <w:tc>
          <w:tcPr>
            <w:tcW w:w="1008" w:type="dxa"/>
          </w:tcPr>
          <w:p w14:paraId="45F8A694" w14:textId="77777777" w:rsidR="00B43A78" w:rsidRPr="004A5EAF" w:rsidRDefault="00B43A78" w:rsidP="003648C3">
            <w:pPr>
              <w:jc w:val="center"/>
            </w:pPr>
          </w:p>
        </w:tc>
      </w:tr>
      <w:tr w:rsidR="00B43A78" w:rsidRPr="004A5EAF" w14:paraId="06D7BD25" w14:textId="77777777" w:rsidTr="003648C3">
        <w:trPr>
          <w:jc w:val="center"/>
        </w:trPr>
        <w:tc>
          <w:tcPr>
            <w:tcW w:w="2175" w:type="dxa"/>
          </w:tcPr>
          <w:p w14:paraId="0499450A" w14:textId="77777777" w:rsidR="00B43A78" w:rsidRPr="004A5EAF" w:rsidRDefault="00B43A78" w:rsidP="003648C3">
            <w:r w:rsidRPr="004A5EAF">
              <w:t>5. Precizēta finansiālā ietekme:</w:t>
            </w:r>
          </w:p>
        </w:tc>
        <w:tc>
          <w:tcPr>
            <w:tcW w:w="1123" w:type="dxa"/>
            <w:vMerge w:val="restart"/>
          </w:tcPr>
          <w:p w14:paraId="06FA42EA" w14:textId="77777777" w:rsidR="00B43A78" w:rsidRPr="004A5EAF" w:rsidRDefault="00B43A78" w:rsidP="003648C3">
            <w:pPr>
              <w:jc w:val="center"/>
              <w:rPr>
                <w:i/>
              </w:rPr>
            </w:pPr>
            <w:r w:rsidRPr="004A5EAF">
              <w:t>X</w:t>
            </w:r>
          </w:p>
          <w:p w14:paraId="49E5B9EA" w14:textId="77777777" w:rsidR="00B43A78" w:rsidRPr="004A5EAF" w:rsidRDefault="00B43A78" w:rsidP="003648C3">
            <w:pPr>
              <w:jc w:val="center"/>
              <w:rPr>
                <w:i/>
              </w:rPr>
            </w:pPr>
            <w:r w:rsidRPr="004A5EAF">
              <w:rPr>
                <w:b/>
              </w:rPr>
              <w:t>0</w:t>
            </w:r>
          </w:p>
        </w:tc>
        <w:tc>
          <w:tcPr>
            <w:tcW w:w="1414" w:type="dxa"/>
          </w:tcPr>
          <w:p w14:paraId="0D1A149C" w14:textId="77777777" w:rsidR="00B43A78" w:rsidRPr="004A5EAF" w:rsidRDefault="00B43A78" w:rsidP="003648C3">
            <w:pPr>
              <w:jc w:val="center"/>
            </w:pPr>
            <w:r w:rsidRPr="004A5EAF">
              <w:t>0</w:t>
            </w:r>
          </w:p>
        </w:tc>
        <w:tc>
          <w:tcPr>
            <w:tcW w:w="1111" w:type="dxa"/>
          </w:tcPr>
          <w:p w14:paraId="3C956CE7" w14:textId="77777777" w:rsidR="00B43A78" w:rsidRPr="004A5EAF" w:rsidRDefault="00B43A78" w:rsidP="003648C3">
            <w:pPr>
              <w:jc w:val="center"/>
            </w:pPr>
            <w:r w:rsidRPr="004A5EAF">
              <w:t>0</w:t>
            </w:r>
          </w:p>
        </w:tc>
        <w:tc>
          <w:tcPr>
            <w:tcW w:w="1209" w:type="dxa"/>
          </w:tcPr>
          <w:p w14:paraId="4B7FB7A7" w14:textId="77777777" w:rsidR="00B43A78" w:rsidRPr="004A5EAF" w:rsidRDefault="00B43A78" w:rsidP="003648C3">
            <w:pPr>
              <w:jc w:val="center"/>
            </w:pPr>
            <w:r w:rsidRPr="004A5EAF">
              <w:t>0</w:t>
            </w:r>
          </w:p>
        </w:tc>
        <w:tc>
          <w:tcPr>
            <w:tcW w:w="1111" w:type="dxa"/>
          </w:tcPr>
          <w:p w14:paraId="7DB5646C" w14:textId="77777777" w:rsidR="00B43A78" w:rsidRPr="004A5EAF" w:rsidRDefault="00B43A78" w:rsidP="003648C3">
            <w:pPr>
              <w:jc w:val="center"/>
            </w:pPr>
            <w:r w:rsidRPr="004A5EAF">
              <w:t>0</w:t>
            </w:r>
          </w:p>
        </w:tc>
        <w:tc>
          <w:tcPr>
            <w:tcW w:w="1192" w:type="dxa"/>
          </w:tcPr>
          <w:p w14:paraId="32DA6C82" w14:textId="77777777" w:rsidR="00B43A78" w:rsidRPr="004A5EAF" w:rsidRDefault="00B43A78" w:rsidP="003648C3">
            <w:pPr>
              <w:jc w:val="center"/>
            </w:pPr>
            <w:r w:rsidRPr="004A5EAF">
              <w:t>0</w:t>
            </w:r>
          </w:p>
        </w:tc>
        <w:tc>
          <w:tcPr>
            <w:tcW w:w="1008" w:type="dxa"/>
          </w:tcPr>
          <w:p w14:paraId="00819903" w14:textId="77777777" w:rsidR="00B43A78" w:rsidRPr="004A5EAF" w:rsidRDefault="00B43A78" w:rsidP="003648C3">
            <w:pPr>
              <w:jc w:val="center"/>
            </w:pPr>
            <w:r w:rsidRPr="004A5EAF">
              <w:t>0</w:t>
            </w:r>
          </w:p>
        </w:tc>
      </w:tr>
      <w:tr w:rsidR="00B43A78" w:rsidRPr="004A5EAF" w14:paraId="7C3B69CF" w14:textId="77777777" w:rsidTr="003648C3">
        <w:trPr>
          <w:jc w:val="center"/>
        </w:trPr>
        <w:tc>
          <w:tcPr>
            <w:tcW w:w="2175" w:type="dxa"/>
          </w:tcPr>
          <w:p w14:paraId="1D7FD8A3" w14:textId="77777777" w:rsidR="00B43A78" w:rsidRPr="004A5EAF" w:rsidRDefault="00B43A78" w:rsidP="003648C3">
            <w:r w:rsidRPr="004A5EAF">
              <w:t>5.1. valsts pamatbudžets</w:t>
            </w:r>
          </w:p>
        </w:tc>
        <w:tc>
          <w:tcPr>
            <w:tcW w:w="1123" w:type="dxa"/>
            <w:vMerge/>
            <w:vAlign w:val="center"/>
          </w:tcPr>
          <w:p w14:paraId="4CA699ED" w14:textId="77777777" w:rsidR="00B43A78" w:rsidRPr="004A5EAF" w:rsidRDefault="00B43A78" w:rsidP="003648C3">
            <w:pPr>
              <w:jc w:val="center"/>
              <w:rPr>
                <w:i/>
              </w:rPr>
            </w:pPr>
          </w:p>
        </w:tc>
        <w:tc>
          <w:tcPr>
            <w:tcW w:w="1414" w:type="dxa"/>
          </w:tcPr>
          <w:p w14:paraId="2E6BFDD7" w14:textId="77777777" w:rsidR="00B43A78" w:rsidRPr="004A5EAF" w:rsidRDefault="00B43A78" w:rsidP="003648C3">
            <w:pPr>
              <w:jc w:val="center"/>
            </w:pPr>
            <w:r w:rsidRPr="004A5EAF">
              <w:t>0</w:t>
            </w:r>
          </w:p>
        </w:tc>
        <w:tc>
          <w:tcPr>
            <w:tcW w:w="1111" w:type="dxa"/>
          </w:tcPr>
          <w:p w14:paraId="7FF5F014" w14:textId="77777777" w:rsidR="00B43A78" w:rsidRPr="004A5EAF" w:rsidRDefault="00B43A78" w:rsidP="003648C3">
            <w:pPr>
              <w:jc w:val="center"/>
            </w:pPr>
            <w:r w:rsidRPr="004A5EAF">
              <w:t>0</w:t>
            </w:r>
          </w:p>
        </w:tc>
        <w:tc>
          <w:tcPr>
            <w:tcW w:w="1209" w:type="dxa"/>
          </w:tcPr>
          <w:p w14:paraId="19081A57" w14:textId="77777777" w:rsidR="00B43A78" w:rsidRPr="004A5EAF" w:rsidRDefault="00B43A78" w:rsidP="003648C3">
            <w:pPr>
              <w:jc w:val="center"/>
            </w:pPr>
            <w:r w:rsidRPr="004A5EAF">
              <w:t>0</w:t>
            </w:r>
          </w:p>
        </w:tc>
        <w:tc>
          <w:tcPr>
            <w:tcW w:w="1111" w:type="dxa"/>
          </w:tcPr>
          <w:p w14:paraId="66E744CF" w14:textId="77777777" w:rsidR="00B43A78" w:rsidRPr="004A5EAF" w:rsidRDefault="00B43A78" w:rsidP="003648C3">
            <w:pPr>
              <w:jc w:val="center"/>
            </w:pPr>
            <w:r w:rsidRPr="004A5EAF">
              <w:t>0</w:t>
            </w:r>
          </w:p>
        </w:tc>
        <w:tc>
          <w:tcPr>
            <w:tcW w:w="1192" w:type="dxa"/>
          </w:tcPr>
          <w:p w14:paraId="5147A4CC" w14:textId="77777777" w:rsidR="00B43A78" w:rsidRPr="004A5EAF" w:rsidRDefault="00B43A78" w:rsidP="003648C3">
            <w:pPr>
              <w:jc w:val="center"/>
            </w:pPr>
            <w:r w:rsidRPr="004A5EAF">
              <w:t>0</w:t>
            </w:r>
          </w:p>
        </w:tc>
        <w:tc>
          <w:tcPr>
            <w:tcW w:w="1008" w:type="dxa"/>
          </w:tcPr>
          <w:p w14:paraId="4489F9A8" w14:textId="77777777" w:rsidR="00B43A78" w:rsidRPr="004A5EAF" w:rsidRDefault="00B43A78" w:rsidP="003648C3">
            <w:pPr>
              <w:jc w:val="center"/>
            </w:pPr>
            <w:r w:rsidRPr="004A5EAF">
              <w:t>0</w:t>
            </w:r>
          </w:p>
        </w:tc>
      </w:tr>
      <w:tr w:rsidR="00B43A78" w:rsidRPr="004A5EAF" w14:paraId="19480752" w14:textId="77777777" w:rsidTr="003648C3">
        <w:trPr>
          <w:jc w:val="center"/>
        </w:trPr>
        <w:tc>
          <w:tcPr>
            <w:tcW w:w="2175" w:type="dxa"/>
          </w:tcPr>
          <w:p w14:paraId="0E572ADB" w14:textId="77777777" w:rsidR="00B43A78" w:rsidRPr="004A5EAF" w:rsidRDefault="00B43A78" w:rsidP="003648C3">
            <w:r w:rsidRPr="004A5EAF">
              <w:t>5.2. speciālais budžets</w:t>
            </w:r>
          </w:p>
        </w:tc>
        <w:tc>
          <w:tcPr>
            <w:tcW w:w="1123" w:type="dxa"/>
            <w:vMerge/>
            <w:vAlign w:val="center"/>
          </w:tcPr>
          <w:p w14:paraId="4113C264" w14:textId="77777777" w:rsidR="00B43A78" w:rsidRPr="004A5EAF" w:rsidRDefault="00B43A78" w:rsidP="003648C3">
            <w:pPr>
              <w:jc w:val="center"/>
              <w:rPr>
                <w:i/>
              </w:rPr>
            </w:pPr>
          </w:p>
        </w:tc>
        <w:tc>
          <w:tcPr>
            <w:tcW w:w="1414" w:type="dxa"/>
          </w:tcPr>
          <w:p w14:paraId="2E153DF6" w14:textId="77777777" w:rsidR="00B43A78" w:rsidRPr="004A5EAF" w:rsidRDefault="00B43A78" w:rsidP="003648C3">
            <w:pPr>
              <w:jc w:val="center"/>
            </w:pPr>
          </w:p>
        </w:tc>
        <w:tc>
          <w:tcPr>
            <w:tcW w:w="1111" w:type="dxa"/>
          </w:tcPr>
          <w:p w14:paraId="7FF6D2B7" w14:textId="77777777" w:rsidR="00B43A78" w:rsidRPr="004A5EAF" w:rsidRDefault="00B43A78" w:rsidP="003648C3">
            <w:pPr>
              <w:jc w:val="center"/>
            </w:pPr>
          </w:p>
        </w:tc>
        <w:tc>
          <w:tcPr>
            <w:tcW w:w="1209" w:type="dxa"/>
          </w:tcPr>
          <w:p w14:paraId="3AFEBA34" w14:textId="77777777" w:rsidR="00B43A78" w:rsidRPr="004A5EAF" w:rsidRDefault="00B43A78" w:rsidP="003648C3">
            <w:pPr>
              <w:jc w:val="center"/>
            </w:pPr>
          </w:p>
        </w:tc>
        <w:tc>
          <w:tcPr>
            <w:tcW w:w="1111" w:type="dxa"/>
          </w:tcPr>
          <w:p w14:paraId="593A4351" w14:textId="77777777" w:rsidR="00B43A78" w:rsidRPr="004A5EAF" w:rsidRDefault="00B43A78" w:rsidP="003648C3">
            <w:pPr>
              <w:jc w:val="center"/>
            </w:pPr>
          </w:p>
        </w:tc>
        <w:tc>
          <w:tcPr>
            <w:tcW w:w="1192" w:type="dxa"/>
          </w:tcPr>
          <w:p w14:paraId="2B355FE1" w14:textId="77777777" w:rsidR="00B43A78" w:rsidRPr="004A5EAF" w:rsidRDefault="00B43A78" w:rsidP="003648C3">
            <w:pPr>
              <w:jc w:val="center"/>
            </w:pPr>
          </w:p>
        </w:tc>
        <w:tc>
          <w:tcPr>
            <w:tcW w:w="1008" w:type="dxa"/>
          </w:tcPr>
          <w:p w14:paraId="39AC1255" w14:textId="77777777" w:rsidR="00B43A78" w:rsidRPr="004A5EAF" w:rsidRDefault="00B43A78" w:rsidP="003648C3">
            <w:pPr>
              <w:jc w:val="center"/>
            </w:pPr>
          </w:p>
        </w:tc>
      </w:tr>
      <w:tr w:rsidR="00B43A78" w:rsidRPr="004A5EAF" w14:paraId="3DC549AA" w14:textId="77777777" w:rsidTr="003648C3">
        <w:trPr>
          <w:jc w:val="center"/>
        </w:trPr>
        <w:tc>
          <w:tcPr>
            <w:tcW w:w="2175" w:type="dxa"/>
          </w:tcPr>
          <w:p w14:paraId="7B4D905B" w14:textId="77777777" w:rsidR="00B43A78" w:rsidRPr="004A5EAF" w:rsidRDefault="00B43A78" w:rsidP="003648C3">
            <w:r w:rsidRPr="004A5EAF">
              <w:t xml:space="preserve">5.3. pašvaldību budžets </w:t>
            </w:r>
          </w:p>
        </w:tc>
        <w:tc>
          <w:tcPr>
            <w:tcW w:w="1123" w:type="dxa"/>
            <w:vMerge/>
          </w:tcPr>
          <w:p w14:paraId="69A7DC68" w14:textId="77777777" w:rsidR="00B43A78" w:rsidRPr="004A5EAF" w:rsidRDefault="00B43A78" w:rsidP="003648C3">
            <w:pPr>
              <w:jc w:val="center"/>
              <w:rPr>
                <w:i/>
              </w:rPr>
            </w:pPr>
          </w:p>
        </w:tc>
        <w:tc>
          <w:tcPr>
            <w:tcW w:w="1414" w:type="dxa"/>
          </w:tcPr>
          <w:p w14:paraId="67BF6A9B" w14:textId="77777777" w:rsidR="00B43A78" w:rsidRPr="004A5EAF" w:rsidRDefault="00B43A78" w:rsidP="003648C3">
            <w:pPr>
              <w:jc w:val="center"/>
            </w:pPr>
          </w:p>
        </w:tc>
        <w:tc>
          <w:tcPr>
            <w:tcW w:w="1111" w:type="dxa"/>
          </w:tcPr>
          <w:p w14:paraId="35699A92" w14:textId="77777777" w:rsidR="00B43A78" w:rsidRPr="004A5EAF" w:rsidRDefault="00B43A78" w:rsidP="003648C3">
            <w:pPr>
              <w:jc w:val="center"/>
            </w:pPr>
          </w:p>
        </w:tc>
        <w:tc>
          <w:tcPr>
            <w:tcW w:w="1209" w:type="dxa"/>
          </w:tcPr>
          <w:p w14:paraId="2F5B99D9" w14:textId="77777777" w:rsidR="00B43A78" w:rsidRPr="004A5EAF" w:rsidRDefault="00B43A78" w:rsidP="003648C3">
            <w:pPr>
              <w:jc w:val="center"/>
            </w:pPr>
          </w:p>
        </w:tc>
        <w:tc>
          <w:tcPr>
            <w:tcW w:w="1111" w:type="dxa"/>
          </w:tcPr>
          <w:p w14:paraId="6829E642" w14:textId="77777777" w:rsidR="00B43A78" w:rsidRPr="004A5EAF" w:rsidRDefault="00B43A78" w:rsidP="003648C3">
            <w:pPr>
              <w:jc w:val="center"/>
            </w:pPr>
          </w:p>
        </w:tc>
        <w:tc>
          <w:tcPr>
            <w:tcW w:w="1192" w:type="dxa"/>
          </w:tcPr>
          <w:p w14:paraId="2A73564F" w14:textId="77777777" w:rsidR="00B43A78" w:rsidRPr="004A5EAF" w:rsidRDefault="00B43A78" w:rsidP="003648C3">
            <w:pPr>
              <w:jc w:val="center"/>
            </w:pPr>
          </w:p>
        </w:tc>
        <w:tc>
          <w:tcPr>
            <w:tcW w:w="1008" w:type="dxa"/>
          </w:tcPr>
          <w:p w14:paraId="25C2D07E" w14:textId="77777777" w:rsidR="00B43A78" w:rsidRPr="004A5EAF" w:rsidRDefault="00B43A78" w:rsidP="003648C3">
            <w:pPr>
              <w:jc w:val="center"/>
            </w:pPr>
          </w:p>
        </w:tc>
      </w:tr>
      <w:tr w:rsidR="00B43A78" w:rsidRPr="004A5EAF" w14:paraId="57DD75C9" w14:textId="77777777" w:rsidTr="003648C3">
        <w:trPr>
          <w:jc w:val="center"/>
        </w:trPr>
        <w:tc>
          <w:tcPr>
            <w:tcW w:w="2175" w:type="dxa"/>
          </w:tcPr>
          <w:p w14:paraId="54A7DB12" w14:textId="77777777" w:rsidR="00B43A78" w:rsidRPr="004A5EAF" w:rsidRDefault="00B43A78" w:rsidP="003648C3">
            <w:r w:rsidRPr="004A5EAF">
              <w:t>6. Detalizēts ieņēmumu un izdevumu aprēķins (ja nepie</w:t>
            </w:r>
            <w:r w:rsidRPr="004A5EAF">
              <w:softHyphen/>
              <w:t>ciešams, detalizētu ieņēmumu un izdevumu aprēķinu var pievienot anotācijas pielikumā):</w:t>
            </w:r>
          </w:p>
        </w:tc>
        <w:tc>
          <w:tcPr>
            <w:tcW w:w="8168" w:type="dxa"/>
            <w:gridSpan w:val="7"/>
            <w:vMerge w:val="restart"/>
            <w:shd w:val="clear" w:color="auto" w:fill="auto"/>
          </w:tcPr>
          <w:p w14:paraId="3D9D5548" w14:textId="3410440D" w:rsidR="00B43A78" w:rsidRPr="004A5EAF" w:rsidRDefault="00B43A78" w:rsidP="003648C3">
            <w:pPr>
              <w:ind w:right="34"/>
              <w:jc w:val="both"/>
            </w:pPr>
            <w:r w:rsidRPr="004A5EAF">
              <w:t>Nav.</w:t>
            </w:r>
          </w:p>
        </w:tc>
      </w:tr>
      <w:tr w:rsidR="00B43A78" w:rsidRPr="004A5EAF" w14:paraId="1211736C" w14:textId="77777777" w:rsidTr="003648C3">
        <w:trPr>
          <w:jc w:val="center"/>
        </w:trPr>
        <w:tc>
          <w:tcPr>
            <w:tcW w:w="2175" w:type="dxa"/>
          </w:tcPr>
          <w:p w14:paraId="65FC768F" w14:textId="77777777" w:rsidR="00B43A78" w:rsidRPr="004A5EAF" w:rsidRDefault="00B43A78" w:rsidP="003648C3">
            <w:r w:rsidRPr="004A5EAF">
              <w:t>6.1. detalizēts ieņēmumu aprēķins</w:t>
            </w:r>
          </w:p>
        </w:tc>
        <w:tc>
          <w:tcPr>
            <w:tcW w:w="8168" w:type="dxa"/>
            <w:gridSpan w:val="7"/>
            <w:vMerge/>
            <w:shd w:val="clear" w:color="auto" w:fill="auto"/>
          </w:tcPr>
          <w:p w14:paraId="215D4449" w14:textId="77777777" w:rsidR="00B43A78" w:rsidRPr="004A5EAF" w:rsidRDefault="00B43A78" w:rsidP="003648C3">
            <w:pPr>
              <w:rPr>
                <w:b/>
                <w:i/>
              </w:rPr>
            </w:pPr>
          </w:p>
        </w:tc>
      </w:tr>
      <w:tr w:rsidR="00B43A78" w:rsidRPr="004A5EAF" w14:paraId="6F8AD5CA" w14:textId="77777777" w:rsidTr="003648C3">
        <w:trPr>
          <w:jc w:val="center"/>
        </w:trPr>
        <w:tc>
          <w:tcPr>
            <w:tcW w:w="2175" w:type="dxa"/>
          </w:tcPr>
          <w:p w14:paraId="4285B3FA" w14:textId="77777777" w:rsidR="00B43A78" w:rsidRPr="004A5EAF" w:rsidRDefault="00B43A78" w:rsidP="003648C3">
            <w:r w:rsidRPr="004A5EAF">
              <w:t>6.2. detalizēts izdevumu aprēķins</w:t>
            </w:r>
          </w:p>
        </w:tc>
        <w:tc>
          <w:tcPr>
            <w:tcW w:w="8168" w:type="dxa"/>
            <w:gridSpan w:val="7"/>
            <w:vMerge/>
            <w:shd w:val="clear" w:color="auto" w:fill="auto"/>
          </w:tcPr>
          <w:p w14:paraId="1E564B13" w14:textId="77777777" w:rsidR="00B43A78" w:rsidRPr="004A5EAF" w:rsidRDefault="00B43A78" w:rsidP="003648C3">
            <w:pPr>
              <w:rPr>
                <w:b/>
                <w:i/>
              </w:rPr>
            </w:pPr>
          </w:p>
        </w:tc>
      </w:tr>
      <w:tr w:rsidR="00B43A78" w:rsidRPr="004A5EAF" w14:paraId="6A2C688C" w14:textId="77777777" w:rsidTr="003648C3">
        <w:trPr>
          <w:trHeight w:val="399"/>
          <w:jc w:val="center"/>
        </w:trPr>
        <w:tc>
          <w:tcPr>
            <w:tcW w:w="2175" w:type="dxa"/>
          </w:tcPr>
          <w:p w14:paraId="3C38A7EF" w14:textId="77777777" w:rsidR="00B43A78" w:rsidRPr="004A5EAF" w:rsidRDefault="00B43A78" w:rsidP="003648C3">
            <w:r w:rsidRPr="004A5EAF">
              <w:t>7. Amata vietu skaita izmaiņas</w:t>
            </w:r>
          </w:p>
        </w:tc>
        <w:tc>
          <w:tcPr>
            <w:tcW w:w="8168" w:type="dxa"/>
            <w:gridSpan w:val="7"/>
            <w:shd w:val="clear" w:color="auto" w:fill="auto"/>
          </w:tcPr>
          <w:p w14:paraId="648F57E9" w14:textId="03FDC1D2" w:rsidR="00B43A78" w:rsidRPr="004A5EAF" w:rsidRDefault="00DE3BAC" w:rsidP="00DE3BAC">
            <w:pPr>
              <w:ind w:right="34"/>
              <w:jc w:val="both"/>
            </w:pPr>
            <w:r>
              <w:t>Noteikumu projektam n</w:t>
            </w:r>
            <w:r w:rsidR="00B43A78" w:rsidRPr="004A5EAF">
              <w:t>av ietekme uz amata vietu skaita izmaiņām.</w:t>
            </w:r>
          </w:p>
        </w:tc>
      </w:tr>
      <w:tr w:rsidR="00B43A78" w:rsidRPr="004A5EAF" w14:paraId="55740246" w14:textId="77777777" w:rsidTr="003648C3">
        <w:trPr>
          <w:trHeight w:val="399"/>
          <w:jc w:val="center"/>
        </w:trPr>
        <w:tc>
          <w:tcPr>
            <w:tcW w:w="2175" w:type="dxa"/>
          </w:tcPr>
          <w:p w14:paraId="44B3BA12" w14:textId="77777777" w:rsidR="00B43A78" w:rsidRPr="004A5EAF" w:rsidRDefault="00B43A78" w:rsidP="003648C3">
            <w:r w:rsidRPr="004A5EAF">
              <w:t>8. Cita informācija</w:t>
            </w:r>
          </w:p>
        </w:tc>
        <w:tc>
          <w:tcPr>
            <w:tcW w:w="8168" w:type="dxa"/>
            <w:gridSpan w:val="7"/>
            <w:shd w:val="clear" w:color="auto" w:fill="auto"/>
          </w:tcPr>
          <w:p w14:paraId="2FF7EE0C" w14:textId="7F0D15F5" w:rsidR="00B43A78" w:rsidRPr="004A5EAF" w:rsidRDefault="00B43A78" w:rsidP="003648C3">
            <w:pPr>
              <w:ind w:right="34"/>
              <w:jc w:val="both"/>
            </w:pPr>
            <w:r w:rsidRPr="004A5EAF">
              <w:t>Saskaņā ar Likuma 72. panta pirmo daļu instruktoru sertificēšanu veic LSFP. Ievērojot minēto, noteikumu projekts nosaka, ka maksu par maksas pakalpojumiem iemaksā LSFP kontā. Iemaksātos finanšu līdzekļus LSFP izlietos ar instruktoru sertificēšanu saistīto izdevumu segšanai, tādejādi finanšu līdzekļu piešķiršana no valsts budžeta, lai nodrošinātu LSFP deleģēto valsts pārvaldes uzdevuma izpildi, nav nepieciešama.</w:t>
            </w:r>
          </w:p>
        </w:tc>
      </w:tr>
    </w:tbl>
    <w:p w14:paraId="6EDF1975" w14:textId="77777777" w:rsidR="00B43A78" w:rsidRPr="004A5EAF" w:rsidRDefault="00B43A78" w:rsidP="004E2D41">
      <w:pPr>
        <w:shd w:val="clear" w:color="auto" w:fill="FFFFFF"/>
        <w:ind w:firstLine="300"/>
        <w:rPr>
          <w:color w:val="auto"/>
          <w:sz w:val="22"/>
          <w:szCs w:val="22"/>
        </w:rPr>
      </w:pPr>
    </w:p>
    <w:tbl>
      <w:tblPr>
        <w:tblW w:w="6152"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425"/>
        <w:gridCol w:w="1702"/>
        <w:gridCol w:w="8080"/>
      </w:tblGrid>
      <w:tr w:rsidR="00DE2CC0" w:rsidRPr="004A5EAF" w14:paraId="3177FDDC" w14:textId="77777777" w:rsidTr="004A5EAF">
        <w:trPr>
          <w:cantSplit/>
        </w:trPr>
        <w:tc>
          <w:tcPr>
            <w:tcW w:w="10207" w:type="dxa"/>
            <w:gridSpan w:val="3"/>
            <w:vAlign w:val="center"/>
            <w:hideMark/>
          </w:tcPr>
          <w:p w14:paraId="008961C2" w14:textId="77777777" w:rsidR="00EE0CFC" w:rsidRPr="004A5EAF" w:rsidRDefault="00EE0CFC" w:rsidP="004E2D41">
            <w:pPr>
              <w:jc w:val="center"/>
              <w:rPr>
                <w:b/>
                <w:bCs/>
                <w:color w:val="auto"/>
              </w:rPr>
            </w:pPr>
            <w:r w:rsidRPr="004A5EAF">
              <w:rPr>
                <w:b/>
                <w:bCs/>
                <w:color w:val="auto"/>
              </w:rPr>
              <w:t>IV. Tiesību akta projekta ietekme uz spēkā esošo tiesību normu sistēmu</w:t>
            </w:r>
          </w:p>
        </w:tc>
      </w:tr>
      <w:tr w:rsidR="00DE2CC0" w:rsidRPr="004A5EAF" w14:paraId="617F9CF6" w14:textId="77777777" w:rsidTr="004A5EAF">
        <w:trPr>
          <w:cantSplit/>
          <w:trHeight w:val="1992"/>
        </w:trPr>
        <w:tc>
          <w:tcPr>
            <w:tcW w:w="425" w:type="dxa"/>
            <w:hideMark/>
          </w:tcPr>
          <w:p w14:paraId="6352A51B" w14:textId="77777777" w:rsidR="00EE0CFC" w:rsidRPr="004A5EAF" w:rsidRDefault="00EE0CFC" w:rsidP="004E2D41">
            <w:pPr>
              <w:jc w:val="center"/>
              <w:rPr>
                <w:color w:val="auto"/>
              </w:rPr>
            </w:pPr>
            <w:r w:rsidRPr="004A5EAF">
              <w:rPr>
                <w:color w:val="auto"/>
              </w:rPr>
              <w:lastRenderedPageBreak/>
              <w:t>1.</w:t>
            </w:r>
          </w:p>
        </w:tc>
        <w:tc>
          <w:tcPr>
            <w:tcW w:w="1702" w:type="dxa"/>
            <w:hideMark/>
          </w:tcPr>
          <w:p w14:paraId="7494ED63" w14:textId="77777777" w:rsidR="00EE0CFC" w:rsidRPr="004A5EAF" w:rsidRDefault="00EE0CFC" w:rsidP="004E2D41">
            <w:pPr>
              <w:rPr>
                <w:color w:val="auto"/>
              </w:rPr>
            </w:pPr>
            <w:r w:rsidRPr="004A5EAF">
              <w:rPr>
                <w:color w:val="auto"/>
              </w:rPr>
              <w:t>Saistītie tiesību aktu projekti</w:t>
            </w:r>
          </w:p>
        </w:tc>
        <w:tc>
          <w:tcPr>
            <w:tcW w:w="8080" w:type="dxa"/>
            <w:hideMark/>
          </w:tcPr>
          <w:p w14:paraId="1063D8C4" w14:textId="1E060381" w:rsidR="00EE0CFC" w:rsidRPr="004A5EAF" w:rsidRDefault="004B722E" w:rsidP="00CE63D6">
            <w:pPr>
              <w:ind w:left="112" w:right="105"/>
              <w:jc w:val="both"/>
              <w:rPr>
                <w:rFonts w:eastAsia="Arial"/>
                <w:color w:val="auto"/>
              </w:rPr>
            </w:pPr>
            <w:r w:rsidRPr="004A5EAF">
              <w:rPr>
                <w:color w:val="auto"/>
              </w:rPr>
              <w:t>L</w:t>
            </w:r>
            <w:r w:rsidR="00EE0CFC" w:rsidRPr="004A5EAF">
              <w:rPr>
                <w:color w:val="auto"/>
              </w:rPr>
              <w:t>ikum</w:t>
            </w:r>
            <w:r w:rsidR="000C6018" w:rsidRPr="004A5EAF">
              <w:rPr>
                <w:color w:val="auto"/>
              </w:rPr>
              <w:t>a 72.</w:t>
            </w:r>
            <w:r w:rsidR="003E4B68" w:rsidRPr="004A5EAF">
              <w:rPr>
                <w:color w:val="auto"/>
              </w:rPr>
              <w:t> </w:t>
            </w:r>
            <w:r w:rsidR="000C6018" w:rsidRPr="004A5EAF">
              <w:rPr>
                <w:color w:val="auto"/>
              </w:rPr>
              <w:t xml:space="preserve">panta </w:t>
            </w:r>
            <w:r w:rsidR="00CE63D6">
              <w:rPr>
                <w:color w:val="auto"/>
              </w:rPr>
              <w:t xml:space="preserve">desmitā </w:t>
            </w:r>
            <w:r w:rsidR="000C6018" w:rsidRPr="004A5EAF">
              <w:rPr>
                <w:color w:val="auto"/>
              </w:rPr>
              <w:t>daļa nosaka, ka z</w:t>
            </w:r>
            <w:r w:rsidR="000C6018" w:rsidRPr="004A5EAF">
              <w:rPr>
                <w:color w:val="auto"/>
                <w:shd w:val="clear" w:color="auto" w:fill="FFFFFF"/>
              </w:rPr>
              <w:t xml:space="preserve">iņas par izsniegtajiem </w:t>
            </w:r>
            <w:r w:rsidR="004E2D41" w:rsidRPr="004A5EAF">
              <w:rPr>
                <w:color w:val="auto"/>
                <w:shd w:val="clear" w:color="auto" w:fill="FFFFFF"/>
              </w:rPr>
              <w:t>s</w:t>
            </w:r>
            <w:r w:rsidR="000C6018" w:rsidRPr="004A5EAF">
              <w:rPr>
                <w:color w:val="auto"/>
                <w:shd w:val="clear" w:color="auto" w:fill="FFFFFF"/>
              </w:rPr>
              <w:t>ertifikātiem LSFP reģistrē Licenču un sertifikātu reģistrā. Licenču un sertifikātu reģistrā reģistrējamo ziņu apjomu, to iekļaušanas, izmantošanas un dzēšanas kārtību, kā arī institūcijas, kurām piešķirama piekļuve šajā reģistrā iek</w:t>
            </w:r>
            <w:r w:rsidR="006A7F34">
              <w:rPr>
                <w:color w:val="auto"/>
                <w:shd w:val="clear" w:color="auto" w:fill="FFFFFF"/>
              </w:rPr>
              <w:t>ļautajām ziņām</w:t>
            </w:r>
            <w:r w:rsidR="000C6018" w:rsidRPr="004A5EAF">
              <w:rPr>
                <w:color w:val="auto"/>
                <w:shd w:val="clear" w:color="auto" w:fill="FFFFFF"/>
              </w:rPr>
              <w:t xml:space="preserve"> nosaka Ministru kabinets. Atbilstoši </w:t>
            </w:r>
            <w:r w:rsidRPr="004A5EAF">
              <w:rPr>
                <w:color w:val="auto"/>
              </w:rPr>
              <w:t>L</w:t>
            </w:r>
            <w:r w:rsidR="000C6018" w:rsidRPr="004A5EAF">
              <w:rPr>
                <w:color w:val="auto"/>
              </w:rPr>
              <w:t xml:space="preserve">ikuma </w:t>
            </w:r>
            <w:r w:rsidR="000C6018" w:rsidRPr="004A5EAF">
              <w:rPr>
                <w:color w:val="auto"/>
                <w:shd w:val="clear" w:color="auto" w:fill="FFFFFF"/>
              </w:rPr>
              <w:t xml:space="preserve">72. panta </w:t>
            </w:r>
            <w:r w:rsidR="00CE63D6">
              <w:rPr>
                <w:color w:val="auto"/>
                <w:shd w:val="clear" w:color="auto" w:fill="FFFFFF"/>
              </w:rPr>
              <w:t>desmitajai</w:t>
            </w:r>
            <w:bookmarkStart w:id="6" w:name="_GoBack"/>
            <w:bookmarkEnd w:id="6"/>
            <w:r w:rsidR="000C6018" w:rsidRPr="004A5EAF">
              <w:rPr>
                <w:color w:val="auto"/>
                <w:shd w:val="clear" w:color="auto" w:fill="FFFFFF"/>
              </w:rPr>
              <w:t xml:space="preserve"> daļ</w:t>
            </w:r>
            <w:r w:rsidR="0083554A" w:rsidRPr="004A5EAF">
              <w:rPr>
                <w:color w:val="auto"/>
                <w:shd w:val="clear" w:color="auto" w:fill="FFFFFF"/>
              </w:rPr>
              <w:t xml:space="preserve">ai </w:t>
            </w:r>
            <w:r w:rsidR="00252AB8" w:rsidRPr="004A5EAF">
              <w:rPr>
                <w:color w:val="auto"/>
                <w:shd w:val="clear" w:color="auto" w:fill="FFFFFF"/>
              </w:rPr>
              <w:t>Ministru kabinets ir izdevis 2020.gada 25.februāra</w:t>
            </w:r>
            <w:r w:rsidR="0083554A" w:rsidRPr="004A5EAF">
              <w:rPr>
                <w:color w:val="auto"/>
                <w:shd w:val="clear" w:color="auto" w:fill="FFFFFF"/>
              </w:rPr>
              <w:t xml:space="preserve"> </w:t>
            </w:r>
            <w:r w:rsidR="0083554A" w:rsidRPr="004A5EAF">
              <w:t>noteikum</w:t>
            </w:r>
            <w:r w:rsidR="00252AB8" w:rsidRPr="004A5EAF">
              <w:t>us</w:t>
            </w:r>
            <w:r w:rsidR="0083554A" w:rsidRPr="004A5EAF">
              <w:t xml:space="preserve"> Nr.120 </w:t>
            </w:r>
            <w:r w:rsidR="007064BC" w:rsidRPr="004A5EAF">
              <w:t>“</w:t>
            </w:r>
            <w:r w:rsidR="0083554A" w:rsidRPr="004A5EAF">
              <w:t>Licenču un sertifikātu reģistra noteikumi</w:t>
            </w:r>
            <w:r w:rsidR="007064BC" w:rsidRPr="004A5EAF">
              <w:t>”</w:t>
            </w:r>
            <w:r w:rsidR="0083554A" w:rsidRPr="004A5EAF">
              <w:t>.</w:t>
            </w:r>
          </w:p>
        </w:tc>
      </w:tr>
      <w:tr w:rsidR="00DE2CC0" w:rsidRPr="004A5EAF" w14:paraId="5850AEA8" w14:textId="77777777" w:rsidTr="004A5EAF">
        <w:trPr>
          <w:cantSplit/>
        </w:trPr>
        <w:tc>
          <w:tcPr>
            <w:tcW w:w="425" w:type="dxa"/>
            <w:hideMark/>
          </w:tcPr>
          <w:p w14:paraId="77B56753" w14:textId="77777777" w:rsidR="00EE0CFC" w:rsidRPr="004A5EAF" w:rsidRDefault="00EE0CFC" w:rsidP="004E2D41">
            <w:pPr>
              <w:jc w:val="center"/>
              <w:rPr>
                <w:color w:val="auto"/>
              </w:rPr>
            </w:pPr>
            <w:r w:rsidRPr="004A5EAF">
              <w:rPr>
                <w:color w:val="auto"/>
              </w:rPr>
              <w:t>2.</w:t>
            </w:r>
          </w:p>
        </w:tc>
        <w:tc>
          <w:tcPr>
            <w:tcW w:w="1702" w:type="dxa"/>
            <w:hideMark/>
          </w:tcPr>
          <w:p w14:paraId="0549D2D1" w14:textId="77777777" w:rsidR="00EE0CFC" w:rsidRPr="004A5EAF" w:rsidRDefault="00EE0CFC" w:rsidP="004E2D41">
            <w:pPr>
              <w:rPr>
                <w:color w:val="auto"/>
              </w:rPr>
            </w:pPr>
            <w:r w:rsidRPr="004A5EAF">
              <w:rPr>
                <w:color w:val="auto"/>
              </w:rPr>
              <w:t>Atbildīgā institūcija</w:t>
            </w:r>
          </w:p>
        </w:tc>
        <w:tc>
          <w:tcPr>
            <w:tcW w:w="8080" w:type="dxa"/>
            <w:hideMark/>
          </w:tcPr>
          <w:p w14:paraId="7C29528C" w14:textId="49AF4729" w:rsidR="00EE0CFC" w:rsidRPr="004A5EAF" w:rsidRDefault="00DE3BAC" w:rsidP="00DE3BAC">
            <w:pPr>
              <w:ind w:left="112"/>
              <w:jc w:val="both"/>
              <w:rPr>
                <w:color w:val="auto"/>
              </w:rPr>
            </w:pPr>
            <w:r>
              <w:rPr>
                <w:color w:val="auto"/>
              </w:rPr>
              <w:t xml:space="preserve">Izglītības un zinātnes ministrija, LSFP, </w:t>
            </w:r>
            <w:r w:rsidR="00EE0CFC" w:rsidRPr="004A5EAF">
              <w:rPr>
                <w:color w:val="auto"/>
              </w:rPr>
              <w:t>Valsts policija.</w:t>
            </w:r>
          </w:p>
        </w:tc>
      </w:tr>
      <w:tr w:rsidR="00DE2CC0" w:rsidRPr="004A5EAF" w14:paraId="25B3156F" w14:textId="77777777" w:rsidTr="004A5EAF">
        <w:trPr>
          <w:cantSplit/>
        </w:trPr>
        <w:tc>
          <w:tcPr>
            <w:tcW w:w="425" w:type="dxa"/>
            <w:hideMark/>
          </w:tcPr>
          <w:p w14:paraId="2A494F28" w14:textId="77777777" w:rsidR="00EE0CFC" w:rsidRPr="004A5EAF" w:rsidRDefault="00EE0CFC" w:rsidP="004E2D41">
            <w:pPr>
              <w:jc w:val="center"/>
              <w:rPr>
                <w:color w:val="auto"/>
              </w:rPr>
            </w:pPr>
            <w:r w:rsidRPr="004A5EAF">
              <w:rPr>
                <w:color w:val="auto"/>
              </w:rPr>
              <w:t>3.</w:t>
            </w:r>
          </w:p>
        </w:tc>
        <w:tc>
          <w:tcPr>
            <w:tcW w:w="1702" w:type="dxa"/>
            <w:hideMark/>
          </w:tcPr>
          <w:p w14:paraId="596E6920" w14:textId="77777777" w:rsidR="00EE0CFC" w:rsidRPr="004A5EAF" w:rsidRDefault="00EE0CFC" w:rsidP="004E2D41">
            <w:pPr>
              <w:rPr>
                <w:color w:val="auto"/>
              </w:rPr>
            </w:pPr>
            <w:r w:rsidRPr="004A5EAF">
              <w:rPr>
                <w:color w:val="auto"/>
              </w:rPr>
              <w:t>Cita informācija</w:t>
            </w:r>
          </w:p>
        </w:tc>
        <w:tc>
          <w:tcPr>
            <w:tcW w:w="8080" w:type="dxa"/>
            <w:hideMark/>
          </w:tcPr>
          <w:p w14:paraId="7BC3E848" w14:textId="726BB77F" w:rsidR="00EE0CFC" w:rsidRPr="004A5EAF" w:rsidRDefault="00EE0CFC" w:rsidP="0050033A">
            <w:pPr>
              <w:ind w:left="112"/>
              <w:jc w:val="both"/>
              <w:rPr>
                <w:color w:val="auto"/>
              </w:rPr>
            </w:pPr>
            <w:r w:rsidRPr="004A5EAF">
              <w:rPr>
                <w:color w:val="auto"/>
              </w:rPr>
              <w:t>Nav.</w:t>
            </w:r>
          </w:p>
        </w:tc>
      </w:tr>
    </w:tbl>
    <w:p w14:paraId="6249FFCA" w14:textId="77777777" w:rsidR="00863953" w:rsidRPr="004A5EAF" w:rsidRDefault="00863953" w:rsidP="004E2D41">
      <w:pPr>
        <w:shd w:val="clear" w:color="auto" w:fill="FFFFFF"/>
        <w:ind w:firstLine="300"/>
        <w:rPr>
          <w:rFonts w:eastAsia="Arial"/>
          <w:color w:val="auto"/>
        </w:rPr>
      </w:pPr>
      <w:r w:rsidRPr="004A5EAF">
        <w:rPr>
          <w:rFonts w:eastAsia="Arial"/>
          <w:color w:val="auto"/>
        </w:rPr>
        <w:t> </w:t>
      </w:r>
    </w:p>
    <w:tbl>
      <w:tblPr>
        <w:tblpPr w:leftFromText="180" w:rightFromText="180" w:vertAnchor="text" w:horzAnchor="margin" w:tblpXSpec="center" w:tblpY="14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343"/>
      </w:tblGrid>
      <w:tr w:rsidR="002F14AD" w:rsidRPr="004A5EAF" w14:paraId="73BBE4B0" w14:textId="77777777" w:rsidTr="004A5EAF">
        <w:tc>
          <w:tcPr>
            <w:tcW w:w="10343" w:type="dxa"/>
            <w:vAlign w:val="center"/>
          </w:tcPr>
          <w:p w14:paraId="2DFA3B26" w14:textId="77777777" w:rsidR="002F14AD" w:rsidRPr="004A5EAF" w:rsidRDefault="002F14AD" w:rsidP="004E2D41">
            <w:pPr>
              <w:pStyle w:val="naisnod"/>
              <w:spacing w:before="0" w:after="0"/>
            </w:pPr>
            <w:r w:rsidRPr="004A5EAF">
              <w:t>V. Tiesību akta projekta atbilstība Latvijas Republikas starptautiskajām saistībām</w:t>
            </w:r>
          </w:p>
        </w:tc>
      </w:tr>
      <w:tr w:rsidR="002F14AD" w:rsidRPr="004A5EAF" w14:paraId="7FFBF788" w14:textId="77777777" w:rsidTr="004A5EAF">
        <w:trPr>
          <w:trHeight w:val="273"/>
        </w:trPr>
        <w:tc>
          <w:tcPr>
            <w:tcW w:w="10343" w:type="dxa"/>
          </w:tcPr>
          <w:p w14:paraId="0A412382" w14:textId="001806FA" w:rsidR="002F14AD" w:rsidRPr="004A5EAF" w:rsidRDefault="00DE3BAC" w:rsidP="004E2D41">
            <w:pPr>
              <w:ind w:right="127"/>
              <w:jc w:val="center"/>
            </w:pPr>
            <w:r>
              <w:t>Noteikumu projekts</w:t>
            </w:r>
            <w:r w:rsidR="002F14AD" w:rsidRPr="004A5EAF">
              <w:t xml:space="preserve"> šo jomu neskar</w:t>
            </w:r>
          </w:p>
        </w:tc>
      </w:tr>
    </w:tbl>
    <w:p w14:paraId="677927D6" w14:textId="77777777" w:rsidR="002F14AD" w:rsidRPr="004A5EAF" w:rsidRDefault="002F14AD" w:rsidP="004E2D41">
      <w:pPr>
        <w:shd w:val="clear" w:color="auto" w:fill="FFFFFF"/>
        <w:ind w:firstLine="300"/>
        <w:rPr>
          <w:color w:val="auto"/>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18"/>
        <w:gridCol w:w="2567"/>
        <w:gridCol w:w="7358"/>
      </w:tblGrid>
      <w:tr w:rsidR="00DE2CC0" w:rsidRPr="004A5EAF" w14:paraId="72114FB5" w14:textId="77777777" w:rsidTr="004A5EAF">
        <w:trPr>
          <w:trHeight w:val="420"/>
          <w:jc w:val="center"/>
        </w:trPr>
        <w:tc>
          <w:tcPr>
            <w:tcW w:w="10343" w:type="dxa"/>
            <w:gridSpan w:val="3"/>
            <w:vAlign w:val="center"/>
          </w:tcPr>
          <w:p w14:paraId="4BE6D8A0" w14:textId="77777777" w:rsidR="00863953" w:rsidRPr="004A5EAF" w:rsidRDefault="00863953" w:rsidP="004E2D41">
            <w:pPr>
              <w:jc w:val="center"/>
              <w:rPr>
                <w:b/>
                <w:color w:val="auto"/>
              </w:rPr>
            </w:pPr>
            <w:r w:rsidRPr="004A5EAF">
              <w:rPr>
                <w:b/>
                <w:color w:val="auto"/>
              </w:rPr>
              <w:t>VI. Sabiedrības līdzdalība un komunikācijas aktivitātes</w:t>
            </w:r>
          </w:p>
        </w:tc>
      </w:tr>
      <w:tr w:rsidR="00DE2CC0" w:rsidRPr="004A5EAF" w14:paraId="23CDC4CD" w14:textId="77777777" w:rsidTr="004A5EAF">
        <w:trPr>
          <w:trHeight w:val="540"/>
          <w:jc w:val="center"/>
        </w:trPr>
        <w:tc>
          <w:tcPr>
            <w:tcW w:w="418" w:type="dxa"/>
          </w:tcPr>
          <w:p w14:paraId="1D2BCDF0" w14:textId="77777777" w:rsidR="00863953" w:rsidRPr="004A5EAF" w:rsidRDefault="00863953" w:rsidP="004E2D41">
            <w:pPr>
              <w:rPr>
                <w:color w:val="auto"/>
              </w:rPr>
            </w:pPr>
            <w:r w:rsidRPr="004A5EAF">
              <w:rPr>
                <w:color w:val="auto"/>
              </w:rPr>
              <w:t>1.</w:t>
            </w:r>
          </w:p>
        </w:tc>
        <w:tc>
          <w:tcPr>
            <w:tcW w:w="2567" w:type="dxa"/>
          </w:tcPr>
          <w:p w14:paraId="34883B57" w14:textId="77777777" w:rsidR="00863953" w:rsidRPr="004A5EAF" w:rsidRDefault="00863953" w:rsidP="004E2D41">
            <w:pPr>
              <w:rPr>
                <w:color w:val="auto"/>
              </w:rPr>
            </w:pPr>
            <w:r w:rsidRPr="004A5EAF">
              <w:rPr>
                <w:color w:val="auto"/>
              </w:rPr>
              <w:t>Plānotās sabiedrības līdzdalības un komunikācijas aktivitātes saistībā ar projektu</w:t>
            </w:r>
          </w:p>
        </w:tc>
        <w:tc>
          <w:tcPr>
            <w:tcW w:w="7358" w:type="dxa"/>
          </w:tcPr>
          <w:p w14:paraId="6959598F" w14:textId="6D293F45" w:rsidR="00863953" w:rsidRPr="004A5EAF" w:rsidRDefault="000A61D0" w:rsidP="004E2D41">
            <w:pPr>
              <w:jc w:val="both"/>
              <w:rPr>
                <w:color w:val="auto"/>
              </w:rPr>
            </w:pPr>
            <w:r w:rsidRPr="004A5EAF">
              <w:rPr>
                <w:color w:val="auto"/>
              </w:rPr>
              <w:t>Par noteikumu projek</w:t>
            </w:r>
            <w:r w:rsidR="006A1DF8" w:rsidRPr="004A5EAF">
              <w:rPr>
                <w:color w:val="auto"/>
              </w:rPr>
              <w:t>tu</w:t>
            </w:r>
            <w:r w:rsidRPr="004A5EAF">
              <w:rPr>
                <w:color w:val="auto"/>
              </w:rPr>
              <w:t xml:space="preserve"> </w:t>
            </w:r>
            <w:r w:rsidR="006A1DF8" w:rsidRPr="004A5EAF">
              <w:rPr>
                <w:color w:val="auto"/>
              </w:rPr>
              <w:t>ir</w:t>
            </w:r>
            <w:r w:rsidRPr="004A5EAF">
              <w:rPr>
                <w:color w:val="auto"/>
              </w:rPr>
              <w:t xml:space="preserve"> informēta</w:t>
            </w:r>
            <w:r w:rsidR="006A1DF8" w:rsidRPr="004A5EAF">
              <w:rPr>
                <w:color w:val="auto"/>
              </w:rPr>
              <w:t>s</w:t>
            </w:r>
            <w:r w:rsidRPr="004A5EAF">
              <w:rPr>
                <w:color w:val="auto"/>
              </w:rPr>
              <w:t xml:space="preserve"> </w:t>
            </w:r>
            <w:r w:rsidR="00D3701D" w:rsidRPr="004A5EAF">
              <w:rPr>
                <w:color w:val="auto"/>
              </w:rPr>
              <w:t>Latvijā atzītā</w:t>
            </w:r>
            <w:r w:rsidR="006A1DF8" w:rsidRPr="004A5EAF">
              <w:rPr>
                <w:color w:val="auto"/>
              </w:rPr>
              <w:t>s</w:t>
            </w:r>
            <w:r w:rsidR="00D3701D" w:rsidRPr="004A5EAF">
              <w:rPr>
                <w:color w:val="auto"/>
              </w:rPr>
              <w:t xml:space="preserve"> sporta federācij</w:t>
            </w:r>
            <w:r w:rsidR="006A1DF8" w:rsidRPr="004A5EAF">
              <w:rPr>
                <w:color w:val="auto"/>
              </w:rPr>
              <w:t>as</w:t>
            </w:r>
            <w:r w:rsidR="00D3701D" w:rsidRPr="004A5EAF">
              <w:rPr>
                <w:color w:val="auto"/>
              </w:rPr>
              <w:t>, kas nodarbojas ar sporta veidiem, kuri saistīti ar šaušanu (</w:t>
            </w:r>
            <w:r w:rsidRPr="004A5EAF">
              <w:rPr>
                <w:bCs/>
                <w:color w:val="auto"/>
              </w:rPr>
              <w:t xml:space="preserve">Šaušanas federācija, Biatlona federācija, </w:t>
            </w:r>
            <w:proofErr w:type="spellStart"/>
            <w:r w:rsidRPr="004A5EAF">
              <w:rPr>
                <w:bCs/>
                <w:color w:val="auto"/>
              </w:rPr>
              <w:t>Sportinga</w:t>
            </w:r>
            <w:proofErr w:type="spellEnd"/>
            <w:r w:rsidRPr="004A5EAF">
              <w:rPr>
                <w:bCs/>
                <w:color w:val="auto"/>
              </w:rPr>
              <w:t xml:space="preserve"> federācija)</w:t>
            </w:r>
            <w:r w:rsidR="00543CD1" w:rsidRPr="004A5EAF">
              <w:rPr>
                <w:bCs/>
                <w:color w:val="auto"/>
              </w:rPr>
              <w:t xml:space="preserve">, kas pārstāv arī to kolektīvos biedrus, </w:t>
            </w:r>
            <w:r w:rsidR="006A1DF8" w:rsidRPr="004A5EAF">
              <w:rPr>
                <w:bCs/>
                <w:color w:val="auto"/>
              </w:rPr>
              <w:t>un komisij</w:t>
            </w:r>
            <w:r w:rsidR="00543CD1" w:rsidRPr="004A5EAF">
              <w:rPr>
                <w:bCs/>
                <w:color w:val="auto"/>
              </w:rPr>
              <w:t xml:space="preserve">u pārstāvošā </w:t>
            </w:r>
            <w:r w:rsidR="00543CD1" w:rsidRPr="004A5EAF">
              <w:rPr>
                <w:color w:val="auto"/>
                <w:shd w:val="clear" w:color="auto" w:fill="FFFFFF"/>
              </w:rPr>
              <w:t xml:space="preserve">Mednieku savienība. </w:t>
            </w:r>
          </w:p>
        </w:tc>
      </w:tr>
      <w:tr w:rsidR="00DE2CC0" w:rsidRPr="004A5EAF" w14:paraId="5707D4A8" w14:textId="77777777" w:rsidTr="004A5EAF">
        <w:trPr>
          <w:trHeight w:val="320"/>
          <w:jc w:val="center"/>
        </w:trPr>
        <w:tc>
          <w:tcPr>
            <w:tcW w:w="418" w:type="dxa"/>
          </w:tcPr>
          <w:p w14:paraId="2803BDFF" w14:textId="77777777" w:rsidR="00863953" w:rsidRPr="004A5EAF" w:rsidRDefault="00863953" w:rsidP="004E2D41">
            <w:pPr>
              <w:rPr>
                <w:color w:val="auto"/>
              </w:rPr>
            </w:pPr>
            <w:r w:rsidRPr="004A5EAF">
              <w:rPr>
                <w:color w:val="auto"/>
              </w:rPr>
              <w:t>2.</w:t>
            </w:r>
          </w:p>
        </w:tc>
        <w:tc>
          <w:tcPr>
            <w:tcW w:w="2567" w:type="dxa"/>
          </w:tcPr>
          <w:p w14:paraId="329CAB17" w14:textId="77777777" w:rsidR="00863953" w:rsidRPr="004A5EAF" w:rsidRDefault="00863953" w:rsidP="004E2D41">
            <w:pPr>
              <w:rPr>
                <w:color w:val="auto"/>
              </w:rPr>
            </w:pPr>
            <w:r w:rsidRPr="004A5EAF">
              <w:rPr>
                <w:color w:val="auto"/>
              </w:rPr>
              <w:t>Sabiedrības līdzdalība projekta izstrādē</w:t>
            </w:r>
          </w:p>
        </w:tc>
        <w:tc>
          <w:tcPr>
            <w:tcW w:w="7358" w:type="dxa"/>
          </w:tcPr>
          <w:p w14:paraId="3F5C67D3" w14:textId="626D2C2E" w:rsidR="00863953" w:rsidRPr="004A5EAF" w:rsidRDefault="003C6755" w:rsidP="004E2D41">
            <w:pPr>
              <w:jc w:val="both"/>
              <w:rPr>
                <w:color w:val="auto"/>
              </w:rPr>
            </w:pPr>
            <w:r w:rsidRPr="004A5EAF">
              <w:rPr>
                <w:bCs/>
                <w:color w:val="auto"/>
              </w:rPr>
              <w:t xml:space="preserve">Noteikumu projekta izstrādes procesā notikušas konsultācijas ar </w:t>
            </w:r>
            <w:r w:rsidR="00D3701D" w:rsidRPr="004A5EAF">
              <w:rPr>
                <w:bCs/>
                <w:color w:val="auto"/>
              </w:rPr>
              <w:t xml:space="preserve">LSFP, </w:t>
            </w:r>
            <w:r w:rsidR="00543CD1" w:rsidRPr="004A5EAF">
              <w:rPr>
                <w:color w:val="auto"/>
              </w:rPr>
              <w:t>Latvijā atzītā</w:t>
            </w:r>
            <w:r w:rsidRPr="004A5EAF">
              <w:rPr>
                <w:color w:val="auto"/>
              </w:rPr>
              <w:t>m</w:t>
            </w:r>
            <w:r w:rsidR="00543CD1" w:rsidRPr="004A5EAF">
              <w:rPr>
                <w:color w:val="auto"/>
              </w:rPr>
              <w:t xml:space="preserve"> sporta federācij</w:t>
            </w:r>
            <w:r w:rsidRPr="004A5EAF">
              <w:rPr>
                <w:color w:val="auto"/>
              </w:rPr>
              <w:t>ām</w:t>
            </w:r>
            <w:r w:rsidR="00543CD1" w:rsidRPr="004A5EAF">
              <w:rPr>
                <w:color w:val="auto"/>
              </w:rPr>
              <w:t>, kas nodarbojas ar sporta veidiem, kuri saistīti ar šaušanu (</w:t>
            </w:r>
            <w:r w:rsidR="004E2D41" w:rsidRPr="004A5EAF">
              <w:rPr>
                <w:color w:val="auto"/>
              </w:rPr>
              <w:t xml:space="preserve">Latvijas </w:t>
            </w:r>
            <w:r w:rsidR="00543CD1" w:rsidRPr="004A5EAF">
              <w:rPr>
                <w:bCs/>
                <w:color w:val="auto"/>
              </w:rPr>
              <w:t>Šaušanas federācija,</w:t>
            </w:r>
            <w:r w:rsidR="009B21D6" w:rsidRPr="004A5EAF">
              <w:rPr>
                <w:bCs/>
                <w:color w:val="auto"/>
              </w:rPr>
              <w:t xml:space="preserve"> </w:t>
            </w:r>
            <w:r w:rsidR="004E2D41" w:rsidRPr="004A5EAF">
              <w:rPr>
                <w:bCs/>
                <w:color w:val="auto"/>
              </w:rPr>
              <w:t xml:space="preserve">Latvijas </w:t>
            </w:r>
            <w:r w:rsidR="00543CD1" w:rsidRPr="004A5EAF">
              <w:rPr>
                <w:bCs/>
                <w:color w:val="auto"/>
              </w:rPr>
              <w:t xml:space="preserve">Biatlona federācija, </w:t>
            </w:r>
            <w:r w:rsidR="004E2D41" w:rsidRPr="004A5EAF">
              <w:rPr>
                <w:bCs/>
                <w:color w:val="auto"/>
              </w:rPr>
              <w:t xml:space="preserve">Latvijas </w:t>
            </w:r>
            <w:proofErr w:type="spellStart"/>
            <w:r w:rsidR="00543CD1" w:rsidRPr="004A5EAF">
              <w:rPr>
                <w:bCs/>
                <w:color w:val="auto"/>
              </w:rPr>
              <w:t>Sportinga</w:t>
            </w:r>
            <w:proofErr w:type="spellEnd"/>
            <w:r w:rsidR="00543CD1" w:rsidRPr="004A5EAF">
              <w:rPr>
                <w:bCs/>
                <w:color w:val="auto"/>
              </w:rPr>
              <w:t xml:space="preserve"> federācija), kas pārstāv arī to kolektīvos biedrus, un</w:t>
            </w:r>
            <w:r w:rsidR="00053FBD" w:rsidRPr="004A5EAF">
              <w:rPr>
                <w:bCs/>
                <w:color w:val="auto"/>
              </w:rPr>
              <w:t xml:space="preserve"> </w:t>
            </w:r>
            <w:r w:rsidR="00543CD1" w:rsidRPr="004A5EAF">
              <w:rPr>
                <w:bCs/>
                <w:color w:val="auto"/>
              </w:rPr>
              <w:t>komisiju pārstāvoš</w:t>
            </w:r>
            <w:r w:rsidRPr="004A5EAF">
              <w:rPr>
                <w:bCs/>
                <w:color w:val="auto"/>
              </w:rPr>
              <w:t>o</w:t>
            </w:r>
            <w:r w:rsidR="00543CD1" w:rsidRPr="004A5EAF">
              <w:rPr>
                <w:bCs/>
                <w:color w:val="auto"/>
              </w:rPr>
              <w:t xml:space="preserve"> </w:t>
            </w:r>
            <w:r w:rsidR="004E2D41" w:rsidRPr="004A5EAF">
              <w:rPr>
                <w:bCs/>
                <w:color w:val="auto"/>
              </w:rPr>
              <w:t xml:space="preserve">Latvijas </w:t>
            </w:r>
            <w:r w:rsidR="00543CD1" w:rsidRPr="004A5EAF">
              <w:rPr>
                <w:color w:val="auto"/>
                <w:shd w:val="clear" w:color="auto" w:fill="FFFFFF"/>
              </w:rPr>
              <w:t>Mednieku savienīb</w:t>
            </w:r>
            <w:r w:rsidRPr="004A5EAF">
              <w:rPr>
                <w:color w:val="auto"/>
                <w:shd w:val="clear" w:color="auto" w:fill="FFFFFF"/>
              </w:rPr>
              <w:t>u</w:t>
            </w:r>
            <w:r w:rsidR="00543CD1" w:rsidRPr="004A5EAF">
              <w:rPr>
                <w:color w:val="auto"/>
                <w:shd w:val="clear" w:color="auto" w:fill="FFFFFF"/>
              </w:rPr>
              <w:t>.</w:t>
            </w:r>
          </w:p>
        </w:tc>
      </w:tr>
      <w:tr w:rsidR="00DE2CC0" w:rsidRPr="004A5EAF" w14:paraId="38A62781" w14:textId="77777777" w:rsidTr="004A5EAF">
        <w:trPr>
          <w:trHeight w:val="460"/>
          <w:jc w:val="center"/>
        </w:trPr>
        <w:tc>
          <w:tcPr>
            <w:tcW w:w="418" w:type="dxa"/>
          </w:tcPr>
          <w:p w14:paraId="6276040D" w14:textId="77777777" w:rsidR="00863953" w:rsidRPr="004A5EAF" w:rsidRDefault="00863953" w:rsidP="004E2D41">
            <w:pPr>
              <w:rPr>
                <w:color w:val="auto"/>
              </w:rPr>
            </w:pPr>
            <w:r w:rsidRPr="004A5EAF">
              <w:rPr>
                <w:color w:val="auto"/>
              </w:rPr>
              <w:t>3.</w:t>
            </w:r>
          </w:p>
        </w:tc>
        <w:tc>
          <w:tcPr>
            <w:tcW w:w="2567" w:type="dxa"/>
          </w:tcPr>
          <w:p w14:paraId="64864A73" w14:textId="77777777" w:rsidR="00863953" w:rsidRPr="004A5EAF" w:rsidRDefault="00863953" w:rsidP="004E2D41">
            <w:pPr>
              <w:rPr>
                <w:color w:val="auto"/>
              </w:rPr>
            </w:pPr>
            <w:r w:rsidRPr="004A5EAF">
              <w:rPr>
                <w:color w:val="auto"/>
              </w:rPr>
              <w:t>Sabiedrības līdzdalības rezultāti</w:t>
            </w:r>
          </w:p>
        </w:tc>
        <w:tc>
          <w:tcPr>
            <w:tcW w:w="7358" w:type="dxa"/>
          </w:tcPr>
          <w:p w14:paraId="0EE314EB" w14:textId="1144D321" w:rsidR="00863953" w:rsidRPr="004A5EAF" w:rsidRDefault="006A1DF8" w:rsidP="004E2D41">
            <w:pPr>
              <w:jc w:val="both"/>
              <w:rPr>
                <w:color w:val="auto"/>
              </w:rPr>
            </w:pPr>
            <w:r w:rsidRPr="004A5EAF">
              <w:rPr>
                <w:color w:val="auto"/>
              </w:rPr>
              <w:t xml:space="preserve">Noteikumu projektu atbalsta </w:t>
            </w:r>
            <w:r w:rsidR="00543CD1" w:rsidRPr="004A5EAF">
              <w:rPr>
                <w:bCs/>
                <w:color w:val="auto"/>
              </w:rPr>
              <w:t xml:space="preserve">LSFP, </w:t>
            </w:r>
            <w:r w:rsidR="00543CD1" w:rsidRPr="004A5EAF">
              <w:rPr>
                <w:color w:val="auto"/>
              </w:rPr>
              <w:t>Latvijā atzītās sporta federācijas, kas nodarbojas ar sporta veidiem, kuri saistīti ar šaušanu (</w:t>
            </w:r>
            <w:r w:rsidR="00543CD1" w:rsidRPr="004A5EAF">
              <w:rPr>
                <w:bCs/>
                <w:color w:val="auto"/>
              </w:rPr>
              <w:t xml:space="preserve">Šaušanas federācija, Biatlona federācija, </w:t>
            </w:r>
            <w:proofErr w:type="spellStart"/>
            <w:r w:rsidR="00543CD1" w:rsidRPr="004A5EAF">
              <w:rPr>
                <w:bCs/>
                <w:color w:val="auto"/>
              </w:rPr>
              <w:t>Sportinga</w:t>
            </w:r>
            <w:proofErr w:type="spellEnd"/>
            <w:r w:rsidR="00543CD1" w:rsidRPr="004A5EAF">
              <w:rPr>
                <w:bCs/>
                <w:color w:val="auto"/>
              </w:rPr>
              <w:t xml:space="preserve"> federācija), kas pārstāv arī to kolektīvos biedrus, un komisiju pārstāvošā </w:t>
            </w:r>
            <w:r w:rsidR="00543CD1" w:rsidRPr="004A5EAF">
              <w:rPr>
                <w:color w:val="auto"/>
                <w:shd w:val="clear" w:color="auto" w:fill="FFFFFF"/>
              </w:rPr>
              <w:t>Mednieku savienība</w:t>
            </w:r>
            <w:r w:rsidR="00543CD1" w:rsidRPr="004A5EAF">
              <w:rPr>
                <w:color w:val="auto"/>
              </w:rPr>
              <w:t>.</w:t>
            </w:r>
          </w:p>
        </w:tc>
      </w:tr>
      <w:tr w:rsidR="00DE2CC0" w:rsidRPr="004A5EAF" w14:paraId="52E76AD8" w14:textId="77777777" w:rsidTr="004A5EAF">
        <w:trPr>
          <w:trHeight w:val="460"/>
          <w:jc w:val="center"/>
        </w:trPr>
        <w:tc>
          <w:tcPr>
            <w:tcW w:w="418" w:type="dxa"/>
          </w:tcPr>
          <w:p w14:paraId="5946592D" w14:textId="77777777" w:rsidR="00863953" w:rsidRPr="004A5EAF" w:rsidRDefault="00863953" w:rsidP="004E2D41">
            <w:pPr>
              <w:rPr>
                <w:color w:val="auto"/>
              </w:rPr>
            </w:pPr>
            <w:r w:rsidRPr="004A5EAF">
              <w:rPr>
                <w:color w:val="auto"/>
              </w:rPr>
              <w:t>4.</w:t>
            </w:r>
          </w:p>
        </w:tc>
        <w:tc>
          <w:tcPr>
            <w:tcW w:w="2567" w:type="dxa"/>
          </w:tcPr>
          <w:p w14:paraId="7AD800F7" w14:textId="77777777" w:rsidR="00863953" w:rsidRPr="004A5EAF" w:rsidRDefault="00863953" w:rsidP="004E2D41">
            <w:pPr>
              <w:rPr>
                <w:color w:val="auto"/>
              </w:rPr>
            </w:pPr>
            <w:r w:rsidRPr="004A5EAF">
              <w:rPr>
                <w:color w:val="auto"/>
              </w:rPr>
              <w:t>Cita informācija</w:t>
            </w:r>
          </w:p>
        </w:tc>
        <w:tc>
          <w:tcPr>
            <w:tcW w:w="7358" w:type="dxa"/>
          </w:tcPr>
          <w:p w14:paraId="4BA9F9F8" w14:textId="439C8D04" w:rsidR="00863953" w:rsidRPr="004A5EAF" w:rsidRDefault="00BA3220">
            <w:pPr>
              <w:shd w:val="clear" w:color="auto" w:fill="FFFFFF"/>
              <w:jc w:val="both"/>
              <w:rPr>
                <w:color w:val="auto"/>
              </w:rPr>
            </w:pPr>
            <w:r w:rsidRPr="004A5EAF">
              <w:rPr>
                <w:color w:val="auto"/>
              </w:rPr>
              <w:t>N</w:t>
            </w:r>
            <w:r w:rsidR="00D3701D" w:rsidRPr="004A5EAF">
              <w:rPr>
                <w:color w:val="auto"/>
              </w:rPr>
              <w:t>oteikum</w:t>
            </w:r>
            <w:r w:rsidR="002D037C" w:rsidRPr="004A5EAF">
              <w:rPr>
                <w:color w:val="auto"/>
              </w:rPr>
              <w:t>u</w:t>
            </w:r>
            <w:r w:rsidR="00D3701D" w:rsidRPr="004A5EAF">
              <w:rPr>
                <w:color w:val="auto"/>
              </w:rPr>
              <w:t xml:space="preserve"> </w:t>
            </w:r>
            <w:r w:rsidR="002D037C" w:rsidRPr="004A5EAF">
              <w:rPr>
                <w:color w:val="auto"/>
              </w:rPr>
              <w:t xml:space="preserve">projekta </w:t>
            </w:r>
            <w:r w:rsidR="00D3701D" w:rsidRPr="004A5EAF">
              <w:rPr>
                <w:color w:val="auto"/>
              </w:rPr>
              <w:t>8.3.</w:t>
            </w:r>
            <w:r w:rsidR="003E4B68" w:rsidRPr="004A5EAF">
              <w:rPr>
                <w:color w:val="auto"/>
              </w:rPr>
              <w:t> apakš</w:t>
            </w:r>
            <w:r w:rsidR="00D3701D" w:rsidRPr="004A5EAF">
              <w:rPr>
                <w:color w:val="auto"/>
              </w:rPr>
              <w:t>punkts</w:t>
            </w:r>
            <w:r w:rsidR="002D037C" w:rsidRPr="004A5EAF">
              <w:rPr>
                <w:color w:val="auto"/>
              </w:rPr>
              <w:t xml:space="preserve"> paredz</w:t>
            </w:r>
            <w:r w:rsidR="00D3701D" w:rsidRPr="004A5EAF">
              <w:rPr>
                <w:color w:val="auto"/>
              </w:rPr>
              <w:t xml:space="preserve"> </w:t>
            </w:r>
            <w:r w:rsidR="002F16C2" w:rsidRPr="004A5EAF">
              <w:rPr>
                <w:color w:val="auto"/>
              </w:rPr>
              <w:t>samazināt termiņ</w:t>
            </w:r>
            <w:r w:rsidR="002D037C" w:rsidRPr="004A5EAF">
              <w:rPr>
                <w:color w:val="auto"/>
              </w:rPr>
              <w:t>u</w:t>
            </w:r>
            <w:r w:rsidR="002F16C2" w:rsidRPr="004A5EAF">
              <w:rPr>
                <w:color w:val="auto"/>
              </w:rPr>
              <w:t xml:space="preserve">, </w:t>
            </w:r>
            <w:r w:rsidR="002D037C" w:rsidRPr="004A5EAF">
              <w:rPr>
                <w:color w:val="auto"/>
              </w:rPr>
              <w:t>cik ilgi</w:t>
            </w:r>
            <w:r w:rsidR="002F16C2" w:rsidRPr="004A5EAF">
              <w:rPr>
                <w:color w:val="auto"/>
              </w:rPr>
              <w:t xml:space="preserve"> </w:t>
            </w:r>
            <w:r w:rsidR="00D3701D" w:rsidRPr="004A5EAF">
              <w:rPr>
                <w:color w:val="auto"/>
              </w:rPr>
              <w:t>sporta federācijas sastāvā esošas sporta organizācijas biedr</w:t>
            </w:r>
            <w:r w:rsidR="002D037C" w:rsidRPr="004A5EAF">
              <w:rPr>
                <w:color w:val="auto"/>
              </w:rPr>
              <w:t>am</w:t>
            </w:r>
            <w:r w:rsidR="00D3701D" w:rsidRPr="004A5EAF">
              <w:rPr>
                <w:color w:val="auto"/>
              </w:rPr>
              <w:t>, kas ieguvis vismaz otro sporta klasi ar šaušanu saistītā sporta veidā, un to apliecina sporta federācijas izsniegts atzinums</w:t>
            </w:r>
            <w:r w:rsidR="002F16C2" w:rsidRPr="004A5EAF">
              <w:rPr>
                <w:color w:val="auto"/>
              </w:rPr>
              <w:t xml:space="preserve">, </w:t>
            </w:r>
            <w:r w:rsidR="002D037C" w:rsidRPr="004A5EAF">
              <w:rPr>
                <w:color w:val="auto"/>
              </w:rPr>
              <w:t xml:space="preserve">jābūt sporta federācijas sastāvā esošas sporta organizācijas biedram, lai viņš </w:t>
            </w:r>
            <w:r w:rsidR="002F16C2" w:rsidRPr="004A5EAF">
              <w:rPr>
                <w:color w:val="auto"/>
              </w:rPr>
              <w:t>var</w:t>
            </w:r>
            <w:r w:rsidR="002D037C" w:rsidRPr="004A5EAF">
              <w:rPr>
                <w:color w:val="auto"/>
              </w:rPr>
              <w:t>ētu</w:t>
            </w:r>
            <w:r w:rsidR="002F16C2" w:rsidRPr="004A5EAF">
              <w:rPr>
                <w:color w:val="auto"/>
              </w:rPr>
              <w:t xml:space="preserve"> pretendēt uz </w:t>
            </w:r>
            <w:r w:rsidR="004E2D41" w:rsidRPr="004A5EAF">
              <w:rPr>
                <w:color w:val="auto"/>
              </w:rPr>
              <w:t>s</w:t>
            </w:r>
            <w:r w:rsidR="002F16C2" w:rsidRPr="004A5EAF">
              <w:rPr>
                <w:color w:val="auto"/>
              </w:rPr>
              <w:t>ertifikāta iegūšanu</w:t>
            </w:r>
            <w:r w:rsidRPr="004A5EAF">
              <w:rPr>
                <w:color w:val="auto"/>
              </w:rPr>
              <w:t xml:space="preserve"> – termiņš samazināts no trīs gadiem uz 1</w:t>
            </w:r>
            <w:r w:rsidR="009B5446" w:rsidRPr="004A5EAF">
              <w:rPr>
                <w:color w:val="auto"/>
              </w:rPr>
              <w:t>2 </w:t>
            </w:r>
            <w:r w:rsidRPr="004A5EAF">
              <w:rPr>
                <w:color w:val="auto"/>
              </w:rPr>
              <w:t>mēnešiem</w:t>
            </w:r>
            <w:r w:rsidR="002F16C2" w:rsidRPr="004A5EAF">
              <w:rPr>
                <w:color w:val="auto"/>
              </w:rPr>
              <w:t>.</w:t>
            </w:r>
            <w:r w:rsidR="00D3701D" w:rsidRPr="004A5EAF">
              <w:rPr>
                <w:color w:val="auto"/>
              </w:rPr>
              <w:t xml:space="preserve"> </w:t>
            </w:r>
            <w:r w:rsidR="004E2D41" w:rsidRPr="004A5EAF">
              <w:rPr>
                <w:color w:val="auto"/>
              </w:rPr>
              <w:t xml:space="preserve">Minētais </w:t>
            </w:r>
            <w:r w:rsidR="007064BC" w:rsidRPr="004A5EAF">
              <w:rPr>
                <w:color w:val="auto"/>
              </w:rPr>
              <w:t xml:space="preserve">pamatojams </w:t>
            </w:r>
            <w:r w:rsidR="004E2D41" w:rsidRPr="004A5EAF">
              <w:rPr>
                <w:color w:val="auto"/>
              </w:rPr>
              <w:t xml:space="preserve">ar </w:t>
            </w:r>
            <w:r w:rsidR="00AB428E" w:rsidRPr="004A5EAF">
              <w:rPr>
                <w:color w:val="auto"/>
              </w:rPr>
              <w:t>Ieroču aprites likuma 14.panta vienpadsmito daļu.</w:t>
            </w:r>
          </w:p>
        </w:tc>
      </w:tr>
    </w:tbl>
    <w:p w14:paraId="12FAD2D0" w14:textId="77777777" w:rsidR="00863953" w:rsidRPr="004A5EAF" w:rsidRDefault="00863953" w:rsidP="004E2D41">
      <w:pPr>
        <w:shd w:val="clear" w:color="auto" w:fill="FFFFFF"/>
        <w:ind w:firstLine="300"/>
        <w:rPr>
          <w:color w:val="auto"/>
        </w:rPr>
      </w:pPr>
      <w:r w:rsidRPr="004A5EAF">
        <w:rPr>
          <w:rFonts w:eastAsia="Arial"/>
          <w:color w:val="auto"/>
        </w:rPr>
        <w:t>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18"/>
        <w:gridCol w:w="2551"/>
        <w:gridCol w:w="7232"/>
      </w:tblGrid>
      <w:tr w:rsidR="00DE2CC0" w:rsidRPr="004A5EAF" w14:paraId="401F6A26" w14:textId="77777777" w:rsidTr="004A5EAF">
        <w:trPr>
          <w:trHeight w:val="360"/>
          <w:jc w:val="center"/>
        </w:trPr>
        <w:tc>
          <w:tcPr>
            <w:tcW w:w="10201" w:type="dxa"/>
            <w:gridSpan w:val="3"/>
            <w:vAlign w:val="center"/>
          </w:tcPr>
          <w:p w14:paraId="3B763015" w14:textId="77777777" w:rsidR="00863953" w:rsidRPr="004A5EAF" w:rsidRDefault="00863953" w:rsidP="004E2D41">
            <w:pPr>
              <w:jc w:val="center"/>
              <w:rPr>
                <w:b/>
                <w:color w:val="auto"/>
              </w:rPr>
            </w:pPr>
            <w:r w:rsidRPr="004A5EAF">
              <w:rPr>
                <w:b/>
                <w:color w:val="auto"/>
              </w:rPr>
              <w:t>VII. Tiesību akta projekta izpildes nodrošināšana un tās ietekme uz institūcijām</w:t>
            </w:r>
          </w:p>
        </w:tc>
      </w:tr>
      <w:tr w:rsidR="00DE2CC0" w:rsidRPr="004A5EAF" w14:paraId="343BDC78" w14:textId="77777777" w:rsidTr="004A5EAF">
        <w:trPr>
          <w:trHeight w:val="420"/>
          <w:jc w:val="center"/>
        </w:trPr>
        <w:tc>
          <w:tcPr>
            <w:tcW w:w="418" w:type="dxa"/>
          </w:tcPr>
          <w:p w14:paraId="10380973" w14:textId="77777777" w:rsidR="00863953" w:rsidRPr="004A5EAF" w:rsidRDefault="00863953" w:rsidP="004E2D41">
            <w:pPr>
              <w:rPr>
                <w:color w:val="auto"/>
              </w:rPr>
            </w:pPr>
            <w:r w:rsidRPr="004A5EAF">
              <w:rPr>
                <w:color w:val="auto"/>
              </w:rPr>
              <w:t>1.</w:t>
            </w:r>
          </w:p>
        </w:tc>
        <w:tc>
          <w:tcPr>
            <w:tcW w:w="2551" w:type="dxa"/>
          </w:tcPr>
          <w:p w14:paraId="50CF4BDB" w14:textId="77777777" w:rsidR="00863953" w:rsidRPr="004A5EAF" w:rsidRDefault="00863953" w:rsidP="004E2D41">
            <w:pPr>
              <w:rPr>
                <w:color w:val="auto"/>
              </w:rPr>
            </w:pPr>
            <w:r w:rsidRPr="004A5EAF">
              <w:rPr>
                <w:color w:val="auto"/>
              </w:rPr>
              <w:t>Projekta izpildē iesaistītās institūcijas</w:t>
            </w:r>
          </w:p>
        </w:tc>
        <w:tc>
          <w:tcPr>
            <w:tcW w:w="7232" w:type="dxa"/>
          </w:tcPr>
          <w:p w14:paraId="3B9DEA8C" w14:textId="5CEFCAB8" w:rsidR="00863953" w:rsidRPr="004A5EAF" w:rsidRDefault="002D037C" w:rsidP="00DE3BAC">
            <w:pPr>
              <w:ind w:left="-29"/>
              <w:jc w:val="both"/>
              <w:rPr>
                <w:color w:val="auto"/>
              </w:rPr>
            </w:pPr>
            <w:r w:rsidRPr="004A5EAF">
              <w:rPr>
                <w:color w:val="auto"/>
              </w:rPr>
              <w:t>Izglītības un zinātnes m</w:t>
            </w:r>
            <w:r w:rsidR="000A61D0" w:rsidRPr="004A5EAF">
              <w:rPr>
                <w:color w:val="auto"/>
              </w:rPr>
              <w:t>inistrija, LSFP</w:t>
            </w:r>
            <w:r w:rsidR="006231D8" w:rsidRPr="004A5EAF">
              <w:rPr>
                <w:color w:val="auto"/>
              </w:rPr>
              <w:t xml:space="preserve">, LSFP valdes izveidotā komisija </w:t>
            </w:r>
            <w:r w:rsidR="000A61D0" w:rsidRPr="004A5EAF">
              <w:rPr>
                <w:color w:val="auto"/>
              </w:rPr>
              <w:t>un Sporta likumā noteiktajā kārtībā atzītas ar šaušanu saistītās attiecīgās sporta veida sporta federācijas.</w:t>
            </w:r>
          </w:p>
        </w:tc>
      </w:tr>
      <w:tr w:rsidR="00DE2CC0" w:rsidRPr="004A5EAF" w14:paraId="1C1F8CB1" w14:textId="77777777" w:rsidTr="004A5EAF">
        <w:trPr>
          <w:trHeight w:val="440"/>
          <w:jc w:val="center"/>
        </w:trPr>
        <w:tc>
          <w:tcPr>
            <w:tcW w:w="418" w:type="dxa"/>
          </w:tcPr>
          <w:p w14:paraId="7785B8BD" w14:textId="77777777" w:rsidR="00863953" w:rsidRPr="004A5EAF" w:rsidRDefault="00863953" w:rsidP="004E2D41">
            <w:pPr>
              <w:rPr>
                <w:color w:val="auto"/>
              </w:rPr>
            </w:pPr>
            <w:r w:rsidRPr="004A5EAF">
              <w:rPr>
                <w:color w:val="auto"/>
              </w:rPr>
              <w:t>2.</w:t>
            </w:r>
          </w:p>
        </w:tc>
        <w:tc>
          <w:tcPr>
            <w:tcW w:w="2551" w:type="dxa"/>
          </w:tcPr>
          <w:p w14:paraId="600D1FFF" w14:textId="77777777" w:rsidR="00863953" w:rsidRPr="004A5EAF" w:rsidRDefault="00863953" w:rsidP="004E2D41">
            <w:pPr>
              <w:rPr>
                <w:color w:val="auto"/>
              </w:rPr>
            </w:pPr>
            <w:r w:rsidRPr="004A5EAF">
              <w:rPr>
                <w:color w:val="auto"/>
              </w:rPr>
              <w:t>Projekta izpildes ietekme uz pārvaldes funkcijām un institucionālo struktūru.</w:t>
            </w:r>
          </w:p>
          <w:p w14:paraId="729164DB" w14:textId="77777777" w:rsidR="00863953" w:rsidRPr="004A5EAF" w:rsidRDefault="00863953" w:rsidP="004E2D41">
            <w:pPr>
              <w:rPr>
                <w:color w:val="auto"/>
              </w:rPr>
            </w:pPr>
            <w:r w:rsidRPr="004A5EAF">
              <w:rPr>
                <w:color w:val="auto"/>
              </w:rPr>
              <w:t>Jaunu institūciju izveide, esošu institūciju likvidācija vai reorganizācija, to ietekme uz institūcijas cilvēkresursiem</w:t>
            </w:r>
          </w:p>
        </w:tc>
        <w:tc>
          <w:tcPr>
            <w:tcW w:w="7232" w:type="dxa"/>
          </w:tcPr>
          <w:p w14:paraId="2E662073" w14:textId="7000F6A3" w:rsidR="000C6018" w:rsidRPr="004A5EAF" w:rsidRDefault="000C6018" w:rsidP="00DE3BAC">
            <w:pPr>
              <w:jc w:val="both"/>
              <w:rPr>
                <w:color w:val="auto"/>
              </w:rPr>
            </w:pPr>
            <w:r w:rsidRPr="004A5EAF">
              <w:rPr>
                <w:color w:val="auto"/>
              </w:rPr>
              <w:t>Saistībā ar noteikumu projekta izpildi nebūs nepieciešams veidot jaunas institūcijas va</w:t>
            </w:r>
            <w:r w:rsidR="00B60B73" w:rsidRPr="004A5EAF">
              <w:rPr>
                <w:color w:val="auto"/>
              </w:rPr>
              <w:t>i likvidēt, reorganizēt esošās.</w:t>
            </w:r>
            <w:r w:rsidR="0050033A" w:rsidRPr="004A5EAF">
              <w:rPr>
                <w:color w:val="auto"/>
              </w:rPr>
              <w:t xml:space="preserve"> </w:t>
            </w:r>
            <w:r w:rsidRPr="004A5EAF">
              <w:rPr>
                <w:color w:val="auto"/>
              </w:rPr>
              <w:t xml:space="preserve">Noteikumu projekta īstenošana tiks veikta LSFP esošo cilvēkresursu ietvaros. </w:t>
            </w:r>
          </w:p>
          <w:p w14:paraId="1EF79BC5" w14:textId="77777777" w:rsidR="00863953" w:rsidRPr="004A5EAF" w:rsidRDefault="00863953" w:rsidP="004E2D41">
            <w:pPr>
              <w:jc w:val="both"/>
              <w:rPr>
                <w:color w:val="auto"/>
              </w:rPr>
            </w:pPr>
          </w:p>
        </w:tc>
      </w:tr>
      <w:tr w:rsidR="00DE2CC0" w:rsidRPr="004A5EAF" w14:paraId="6FA3010E" w14:textId="77777777" w:rsidTr="004A5EAF">
        <w:trPr>
          <w:trHeight w:val="380"/>
          <w:jc w:val="center"/>
        </w:trPr>
        <w:tc>
          <w:tcPr>
            <w:tcW w:w="418" w:type="dxa"/>
          </w:tcPr>
          <w:p w14:paraId="016517A7" w14:textId="77777777" w:rsidR="00863953" w:rsidRPr="004A5EAF" w:rsidRDefault="00863953" w:rsidP="004E2D41">
            <w:pPr>
              <w:rPr>
                <w:color w:val="auto"/>
              </w:rPr>
            </w:pPr>
            <w:r w:rsidRPr="004A5EAF">
              <w:rPr>
                <w:color w:val="auto"/>
              </w:rPr>
              <w:lastRenderedPageBreak/>
              <w:t>3.</w:t>
            </w:r>
          </w:p>
        </w:tc>
        <w:tc>
          <w:tcPr>
            <w:tcW w:w="2551" w:type="dxa"/>
          </w:tcPr>
          <w:p w14:paraId="1E4921BC" w14:textId="77777777" w:rsidR="00863953" w:rsidRPr="004A5EAF" w:rsidRDefault="00863953" w:rsidP="004E2D41">
            <w:pPr>
              <w:rPr>
                <w:color w:val="auto"/>
              </w:rPr>
            </w:pPr>
            <w:r w:rsidRPr="004A5EAF">
              <w:rPr>
                <w:color w:val="auto"/>
              </w:rPr>
              <w:t>Cita informācija</w:t>
            </w:r>
          </w:p>
        </w:tc>
        <w:tc>
          <w:tcPr>
            <w:tcW w:w="7232" w:type="dxa"/>
          </w:tcPr>
          <w:p w14:paraId="769FE862" w14:textId="77777777" w:rsidR="00863953" w:rsidRPr="004A5EAF" w:rsidRDefault="00B60B73" w:rsidP="004E2D41">
            <w:pPr>
              <w:rPr>
                <w:color w:val="auto"/>
              </w:rPr>
            </w:pPr>
            <w:r w:rsidRPr="004A5EAF">
              <w:rPr>
                <w:color w:val="auto"/>
              </w:rPr>
              <w:t xml:space="preserve">   </w:t>
            </w:r>
            <w:r w:rsidR="00863953" w:rsidRPr="004A5EAF">
              <w:rPr>
                <w:color w:val="auto"/>
              </w:rPr>
              <w:t>Nav</w:t>
            </w:r>
            <w:r w:rsidRPr="004A5EAF">
              <w:rPr>
                <w:color w:val="auto"/>
              </w:rPr>
              <w:t>.</w:t>
            </w:r>
          </w:p>
        </w:tc>
      </w:tr>
    </w:tbl>
    <w:p w14:paraId="6CA54824" w14:textId="77777777" w:rsidR="00543CD1" w:rsidRPr="004A5EAF" w:rsidRDefault="00543CD1" w:rsidP="004E2D41">
      <w:pPr>
        <w:tabs>
          <w:tab w:val="left" w:pos="6237"/>
        </w:tabs>
        <w:rPr>
          <w:color w:val="auto"/>
        </w:rPr>
      </w:pPr>
    </w:p>
    <w:p w14:paraId="75DBE85F" w14:textId="77777777" w:rsidR="002F14AD" w:rsidRPr="004A5EAF" w:rsidRDefault="002F14AD" w:rsidP="004E2D41">
      <w:pPr>
        <w:tabs>
          <w:tab w:val="left" w:pos="6237"/>
        </w:tabs>
        <w:rPr>
          <w:color w:val="auto"/>
        </w:rPr>
      </w:pPr>
    </w:p>
    <w:p w14:paraId="1BCD80EB" w14:textId="77777777" w:rsidR="006E264A" w:rsidRPr="004A5EAF" w:rsidRDefault="006E264A" w:rsidP="004E2D41">
      <w:pPr>
        <w:jc w:val="both"/>
        <w:rPr>
          <w:color w:val="auto"/>
        </w:rPr>
      </w:pPr>
      <w:bookmarkStart w:id="7" w:name="_Hlk24371007"/>
      <w:r w:rsidRPr="004A5EAF">
        <w:rPr>
          <w:color w:val="auto"/>
        </w:rPr>
        <w:t>Izglītības un zinātnes ministre</w:t>
      </w:r>
      <w:r w:rsidRPr="004A5EAF">
        <w:rPr>
          <w:color w:val="auto"/>
        </w:rPr>
        <w:tab/>
      </w:r>
      <w:r w:rsidRPr="004A5EAF">
        <w:rPr>
          <w:color w:val="auto"/>
        </w:rPr>
        <w:tab/>
      </w:r>
      <w:r w:rsidRPr="004A5EAF">
        <w:rPr>
          <w:color w:val="auto"/>
        </w:rPr>
        <w:tab/>
        <w:t xml:space="preserve"> </w:t>
      </w:r>
      <w:r w:rsidRPr="004A5EAF">
        <w:rPr>
          <w:color w:val="auto"/>
        </w:rPr>
        <w:tab/>
      </w:r>
      <w:r w:rsidRPr="004A5EAF">
        <w:rPr>
          <w:color w:val="auto"/>
        </w:rPr>
        <w:tab/>
        <w:t>I. Šuplinska</w:t>
      </w:r>
    </w:p>
    <w:bookmarkEnd w:id="7"/>
    <w:p w14:paraId="35D78A51" w14:textId="77777777" w:rsidR="006E264A" w:rsidRPr="004A5EAF" w:rsidRDefault="006E264A" w:rsidP="004E2D41">
      <w:pPr>
        <w:jc w:val="both"/>
        <w:rPr>
          <w:color w:val="auto"/>
        </w:rPr>
      </w:pPr>
    </w:p>
    <w:bookmarkEnd w:id="1"/>
    <w:p w14:paraId="529DF700" w14:textId="77777777" w:rsidR="002F14AD" w:rsidRPr="004A5EAF" w:rsidRDefault="002F14AD" w:rsidP="004E2D41">
      <w:pPr>
        <w:jc w:val="both"/>
        <w:rPr>
          <w:bCs/>
          <w:color w:val="auto"/>
          <w:kern w:val="32"/>
        </w:rPr>
      </w:pPr>
    </w:p>
    <w:p w14:paraId="625F5CE6" w14:textId="77777777" w:rsidR="002F14AD" w:rsidRDefault="002F14AD" w:rsidP="004E2D41">
      <w:pPr>
        <w:jc w:val="both"/>
        <w:rPr>
          <w:bCs/>
          <w:color w:val="auto"/>
          <w:kern w:val="32"/>
        </w:rPr>
      </w:pPr>
    </w:p>
    <w:p w14:paraId="7E452C7B" w14:textId="77777777" w:rsidR="002F14AD" w:rsidRPr="004A5EAF" w:rsidRDefault="002F14AD" w:rsidP="004E2D41">
      <w:pPr>
        <w:jc w:val="both"/>
        <w:rPr>
          <w:color w:val="auto"/>
          <w:sz w:val="22"/>
          <w:szCs w:val="22"/>
        </w:rPr>
      </w:pPr>
      <w:r w:rsidRPr="004A5EAF">
        <w:rPr>
          <w:color w:val="auto"/>
          <w:sz w:val="22"/>
          <w:szCs w:val="22"/>
        </w:rPr>
        <w:t>Pauliņa 67047932</w:t>
      </w:r>
    </w:p>
    <w:p w14:paraId="7F7BCEC6" w14:textId="3EC85DD9" w:rsidR="002F14AD" w:rsidRPr="002F14AD" w:rsidRDefault="002F14AD" w:rsidP="004E2D41">
      <w:pPr>
        <w:jc w:val="both"/>
        <w:rPr>
          <w:color w:val="auto"/>
          <w:sz w:val="22"/>
          <w:szCs w:val="22"/>
        </w:rPr>
      </w:pPr>
      <w:r w:rsidRPr="004A5EAF">
        <w:rPr>
          <w:color w:val="auto"/>
          <w:sz w:val="22"/>
          <w:szCs w:val="22"/>
        </w:rPr>
        <w:t>ilze.paulina@izm.gov.lv</w:t>
      </w:r>
    </w:p>
    <w:sectPr w:rsidR="002F14AD" w:rsidRPr="002F14AD" w:rsidSect="001F6B3C">
      <w:headerReference w:type="default" r:id="rId8"/>
      <w:footerReference w:type="default" r:id="rId9"/>
      <w:footerReference w:type="first" r:id="rId10"/>
      <w:pgSz w:w="11906" w:h="16838"/>
      <w:pgMar w:top="709" w:right="1800" w:bottom="851" w:left="1800" w:header="426" w:footer="428"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E8849" w16cex:dateUtc="2020-11-05T12:18:00Z"/>
  <w16cex:commentExtensible w16cex:durableId="234E8C4A" w16cex:dateUtc="2020-11-05T12:18:00Z"/>
  <w16cex:commentExtensible w16cex:durableId="234E881D" w16cex:dateUtc="2020-11-05T12:18:00Z"/>
  <w16cex:commentExtensible w16cex:durableId="234E951E" w16cex:dateUtc="2020-11-05T13:13:00Z"/>
  <w16cex:commentExtensible w16cex:durableId="234E90D6" w16cex:dateUtc="2020-11-05T12:55:00Z"/>
  <w16cex:commentExtensible w16cex:durableId="234E956C" w16cex:dateUtc="2020-11-05T13:14:00Z"/>
  <w16cex:commentExtensible w16cex:durableId="234E954F" w16cex:dateUtc="2020-11-05T13:14:00Z"/>
  <w16cex:commentExtensible w16cex:durableId="234E959C" w16cex:dateUtc="2020-11-05T1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461D87" w16cid:durableId="234E8697"/>
  <w16cid:commentId w16cid:paraId="2BF5273C" w16cid:durableId="234E8849"/>
  <w16cid:commentId w16cid:paraId="73B9497A" w16cid:durableId="234E8C4B"/>
  <w16cid:commentId w16cid:paraId="2644BFBD" w16cid:durableId="234E8C4A"/>
  <w16cid:commentId w16cid:paraId="3C1DE5F0" w16cid:durableId="234E8698"/>
  <w16cid:commentId w16cid:paraId="10826FE8" w16cid:durableId="234E881D"/>
  <w16cid:commentId w16cid:paraId="439330A2" w16cid:durableId="234E8699"/>
  <w16cid:commentId w16cid:paraId="3B855BAD" w16cid:durableId="234E869A"/>
  <w16cid:commentId w16cid:paraId="32C23789" w16cid:durableId="234E951E"/>
  <w16cid:commentId w16cid:paraId="6350730A" w16cid:durableId="234E869B"/>
  <w16cid:commentId w16cid:paraId="24FB290B" w16cid:durableId="234E90D6"/>
  <w16cid:commentId w16cid:paraId="0BE775BF" w16cid:durableId="234E869C"/>
  <w16cid:commentId w16cid:paraId="1EFAA0E2" w16cid:durableId="234E869D"/>
  <w16cid:commentId w16cid:paraId="10BD0042" w16cid:durableId="234E869E"/>
  <w16cid:commentId w16cid:paraId="3FBEF7C4" w16cid:durableId="234E956C"/>
  <w16cid:commentId w16cid:paraId="061AC5F5" w16cid:durableId="234E869F"/>
  <w16cid:commentId w16cid:paraId="698BC2CB" w16cid:durableId="234E954F"/>
  <w16cid:commentId w16cid:paraId="4C28EDC4" w16cid:durableId="234E86A0"/>
  <w16cid:commentId w16cid:paraId="2A81736F" w16cid:durableId="234E95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1FC35" w14:textId="77777777" w:rsidR="00F730C9" w:rsidRDefault="00F730C9" w:rsidP="00EE0CFC">
      <w:r>
        <w:separator/>
      </w:r>
    </w:p>
  </w:endnote>
  <w:endnote w:type="continuationSeparator" w:id="0">
    <w:p w14:paraId="5274BEDE" w14:textId="77777777" w:rsidR="00F730C9" w:rsidRDefault="00F730C9" w:rsidP="00EE0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altName w:val="Arial Unicode MS"/>
    <w:charset w:val="DE"/>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C8D9F" w14:textId="1315FD42" w:rsidR="00213F1D" w:rsidRPr="002F14AD" w:rsidRDefault="00213F1D" w:rsidP="002F14AD">
    <w:pPr>
      <w:pStyle w:val="Footer"/>
      <w:jc w:val="both"/>
      <w:rPr>
        <w:color w:val="auto"/>
        <w:sz w:val="22"/>
        <w:szCs w:val="22"/>
      </w:rPr>
    </w:pPr>
    <w:r w:rsidRPr="002F14AD">
      <w:rPr>
        <w:color w:val="auto"/>
        <w:sz w:val="22"/>
        <w:szCs w:val="22"/>
      </w:rPr>
      <w:t>IZMAnot_</w:t>
    </w:r>
    <w:r w:rsidR="00252AB8">
      <w:rPr>
        <w:color w:val="auto"/>
        <w:sz w:val="22"/>
        <w:szCs w:val="22"/>
      </w:rPr>
      <w:t>1412</w:t>
    </w:r>
    <w:r w:rsidRPr="002F14AD">
      <w:rPr>
        <w:color w:val="auto"/>
        <w:sz w:val="22"/>
        <w:szCs w:val="22"/>
      </w:rPr>
      <w:t>20_sausana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28911" w14:textId="4CA2A4AE" w:rsidR="00213F1D" w:rsidRPr="00252AB8" w:rsidRDefault="00252AB8" w:rsidP="00252AB8">
    <w:pPr>
      <w:pStyle w:val="Footer"/>
      <w:jc w:val="both"/>
      <w:rPr>
        <w:color w:val="auto"/>
        <w:sz w:val="22"/>
        <w:szCs w:val="22"/>
      </w:rPr>
    </w:pPr>
    <w:r w:rsidRPr="002F14AD">
      <w:rPr>
        <w:color w:val="auto"/>
        <w:sz w:val="22"/>
        <w:szCs w:val="22"/>
      </w:rPr>
      <w:t>IZMAnot_</w:t>
    </w:r>
    <w:r>
      <w:rPr>
        <w:color w:val="auto"/>
        <w:sz w:val="22"/>
        <w:szCs w:val="22"/>
      </w:rPr>
      <w:t>1412</w:t>
    </w:r>
    <w:r w:rsidRPr="002F14AD">
      <w:rPr>
        <w:color w:val="auto"/>
        <w:sz w:val="22"/>
        <w:szCs w:val="22"/>
      </w:rPr>
      <w:t>20_sausana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443FA" w14:textId="77777777" w:rsidR="00F730C9" w:rsidRDefault="00F730C9" w:rsidP="00EE0CFC">
      <w:r>
        <w:separator/>
      </w:r>
    </w:p>
  </w:footnote>
  <w:footnote w:type="continuationSeparator" w:id="0">
    <w:p w14:paraId="62B8C5C6" w14:textId="77777777" w:rsidR="00F730C9" w:rsidRDefault="00F730C9" w:rsidP="00EE0C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CBC11" w14:textId="77777777" w:rsidR="00213F1D" w:rsidRDefault="00213F1D">
    <w:pPr>
      <w:tabs>
        <w:tab w:val="center" w:pos="4153"/>
        <w:tab w:val="right" w:pos="8306"/>
      </w:tabs>
      <w:jc w:val="center"/>
    </w:pPr>
    <w:r>
      <w:fldChar w:fldCharType="begin"/>
    </w:r>
    <w:r>
      <w:instrText>PAGE</w:instrText>
    </w:r>
    <w:r>
      <w:fldChar w:fldCharType="separate"/>
    </w:r>
    <w:r w:rsidR="00CE63D6">
      <w:rPr>
        <w:noProof/>
      </w:rPr>
      <w:t>9</w:t>
    </w:r>
    <w:r>
      <w:fldChar w:fldCharType="end"/>
    </w:r>
  </w:p>
  <w:p w14:paraId="0747C0C8" w14:textId="77777777" w:rsidR="00213F1D" w:rsidRDefault="00213F1D">
    <w:pP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829C7"/>
    <w:multiLevelType w:val="hybridMultilevel"/>
    <w:tmpl w:val="B63EE03A"/>
    <w:lvl w:ilvl="0" w:tplc="B78AC066">
      <w:start w:val="25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E1F71E0"/>
    <w:multiLevelType w:val="hybridMultilevel"/>
    <w:tmpl w:val="FDF41820"/>
    <w:lvl w:ilvl="0" w:tplc="952A0EDE">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E5A5DF7"/>
    <w:multiLevelType w:val="hybridMultilevel"/>
    <w:tmpl w:val="042EAAF8"/>
    <w:lvl w:ilvl="0" w:tplc="952A0EDE">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4DA275DC"/>
    <w:multiLevelType w:val="hybridMultilevel"/>
    <w:tmpl w:val="92880120"/>
    <w:lvl w:ilvl="0" w:tplc="952A0EDE">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4F70345C"/>
    <w:multiLevelType w:val="hybridMultilevel"/>
    <w:tmpl w:val="6088C68E"/>
    <w:lvl w:ilvl="0" w:tplc="EA2ADB5A">
      <w:start w:val="1"/>
      <w:numFmt w:val="decimal"/>
      <w:lvlText w:val="(%1)"/>
      <w:lvlJc w:val="left"/>
      <w:pPr>
        <w:ind w:left="660" w:hanging="360"/>
      </w:pPr>
      <w:rPr>
        <w:rFonts w:ascii="Times New Roman" w:eastAsia="Times New Roman" w:hAnsi="Times New Roman" w:cs="Times New Roman"/>
        <w:color w:val="auto"/>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953"/>
    <w:rsid w:val="000236BD"/>
    <w:rsid w:val="00053FBD"/>
    <w:rsid w:val="00063C15"/>
    <w:rsid w:val="00071943"/>
    <w:rsid w:val="0007293A"/>
    <w:rsid w:val="00093DEF"/>
    <w:rsid w:val="0009618F"/>
    <w:rsid w:val="000A61D0"/>
    <w:rsid w:val="000C6018"/>
    <w:rsid w:val="000D4466"/>
    <w:rsid w:val="000F61A9"/>
    <w:rsid w:val="00100A68"/>
    <w:rsid w:val="001051A3"/>
    <w:rsid w:val="00130EE1"/>
    <w:rsid w:val="00153BF7"/>
    <w:rsid w:val="00161211"/>
    <w:rsid w:val="001B57EE"/>
    <w:rsid w:val="001C5282"/>
    <w:rsid w:val="001D0D51"/>
    <w:rsid w:val="001F1684"/>
    <w:rsid w:val="001F6B3C"/>
    <w:rsid w:val="00203621"/>
    <w:rsid w:val="00205283"/>
    <w:rsid w:val="00212DC3"/>
    <w:rsid w:val="00213F1D"/>
    <w:rsid w:val="0021510C"/>
    <w:rsid w:val="00217D25"/>
    <w:rsid w:val="00247BAA"/>
    <w:rsid w:val="00252AB8"/>
    <w:rsid w:val="00281726"/>
    <w:rsid w:val="00284C2E"/>
    <w:rsid w:val="002946D8"/>
    <w:rsid w:val="002B7BD9"/>
    <w:rsid w:val="002C24FB"/>
    <w:rsid w:val="002D037C"/>
    <w:rsid w:val="002D7B8C"/>
    <w:rsid w:val="002F14AD"/>
    <w:rsid w:val="002F16C2"/>
    <w:rsid w:val="003014A4"/>
    <w:rsid w:val="0031368A"/>
    <w:rsid w:val="003158C5"/>
    <w:rsid w:val="00316232"/>
    <w:rsid w:val="00332EFA"/>
    <w:rsid w:val="00335C1D"/>
    <w:rsid w:val="00345311"/>
    <w:rsid w:val="00370EB8"/>
    <w:rsid w:val="003C6755"/>
    <w:rsid w:val="003E4B68"/>
    <w:rsid w:val="003F63DE"/>
    <w:rsid w:val="004335B0"/>
    <w:rsid w:val="00442D7D"/>
    <w:rsid w:val="0049145E"/>
    <w:rsid w:val="004A5EAF"/>
    <w:rsid w:val="004B4B23"/>
    <w:rsid w:val="004B722E"/>
    <w:rsid w:val="004D179E"/>
    <w:rsid w:val="004E2D41"/>
    <w:rsid w:val="004E41A0"/>
    <w:rsid w:val="0050033A"/>
    <w:rsid w:val="0050762B"/>
    <w:rsid w:val="00543CD1"/>
    <w:rsid w:val="005E6989"/>
    <w:rsid w:val="006231D8"/>
    <w:rsid w:val="00667EF4"/>
    <w:rsid w:val="00675598"/>
    <w:rsid w:val="006A1DF8"/>
    <w:rsid w:val="006A7F34"/>
    <w:rsid w:val="006B7C76"/>
    <w:rsid w:val="006C6C5E"/>
    <w:rsid w:val="006E264A"/>
    <w:rsid w:val="006E37EA"/>
    <w:rsid w:val="006E671D"/>
    <w:rsid w:val="007064BC"/>
    <w:rsid w:val="00714391"/>
    <w:rsid w:val="007156F2"/>
    <w:rsid w:val="00731BCA"/>
    <w:rsid w:val="007537D7"/>
    <w:rsid w:val="00790D1F"/>
    <w:rsid w:val="007B378B"/>
    <w:rsid w:val="007B3885"/>
    <w:rsid w:val="007D243D"/>
    <w:rsid w:val="007F4F83"/>
    <w:rsid w:val="00813F8D"/>
    <w:rsid w:val="0082673A"/>
    <w:rsid w:val="00827ABF"/>
    <w:rsid w:val="0083554A"/>
    <w:rsid w:val="00863953"/>
    <w:rsid w:val="008819B4"/>
    <w:rsid w:val="008B219D"/>
    <w:rsid w:val="008C4D74"/>
    <w:rsid w:val="008E01CF"/>
    <w:rsid w:val="009813D1"/>
    <w:rsid w:val="009A09F3"/>
    <w:rsid w:val="009B21D6"/>
    <w:rsid w:val="009B3733"/>
    <w:rsid w:val="009B5446"/>
    <w:rsid w:val="009B6AC7"/>
    <w:rsid w:val="009D0073"/>
    <w:rsid w:val="009D300F"/>
    <w:rsid w:val="00A13123"/>
    <w:rsid w:val="00A55339"/>
    <w:rsid w:val="00AA5AD5"/>
    <w:rsid w:val="00AB428E"/>
    <w:rsid w:val="00AF1082"/>
    <w:rsid w:val="00AF700B"/>
    <w:rsid w:val="00B33EA5"/>
    <w:rsid w:val="00B43A78"/>
    <w:rsid w:val="00B60B73"/>
    <w:rsid w:val="00B63DD4"/>
    <w:rsid w:val="00B75E78"/>
    <w:rsid w:val="00B86098"/>
    <w:rsid w:val="00BA3220"/>
    <w:rsid w:val="00BA4B27"/>
    <w:rsid w:val="00BC2A78"/>
    <w:rsid w:val="00BE7C54"/>
    <w:rsid w:val="00BF607D"/>
    <w:rsid w:val="00C12466"/>
    <w:rsid w:val="00C14A25"/>
    <w:rsid w:val="00C203D7"/>
    <w:rsid w:val="00C34C53"/>
    <w:rsid w:val="00C60C4E"/>
    <w:rsid w:val="00C72CE0"/>
    <w:rsid w:val="00C955E4"/>
    <w:rsid w:val="00CD2447"/>
    <w:rsid w:val="00CE4F6E"/>
    <w:rsid w:val="00CE63D6"/>
    <w:rsid w:val="00CE6761"/>
    <w:rsid w:val="00CF5007"/>
    <w:rsid w:val="00D052FE"/>
    <w:rsid w:val="00D3701D"/>
    <w:rsid w:val="00D54FDC"/>
    <w:rsid w:val="00D75DCC"/>
    <w:rsid w:val="00DA2D79"/>
    <w:rsid w:val="00DC11B3"/>
    <w:rsid w:val="00DE2CC0"/>
    <w:rsid w:val="00DE3BAC"/>
    <w:rsid w:val="00DE7A42"/>
    <w:rsid w:val="00DF48B9"/>
    <w:rsid w:val="00E3012C"/>
    <w:rsid w:val="00E52024"/>
    <w:rsid w:val="00E56C5B"/>
    <w:rsid w:val="00E63AA2"/>
    <w:rsid w:val="00E97D1D"/>
    <w:rsid w:val="00EC61C7"/>
    <w:rsid w:val="00ED437F"/>
    <w:rsid w:val="00EE0CFC"/>
    <w:rsid w:val="00F244D3"/>
    <w:rsid w:val="00F40100"/>
    <w:rsid w:val="00F450B8"/>
    <w:rsid w:val="00F730C9"/>
    <w:rsid w:val="00F80D93"/>
    <w:rsid w:val="00F94A57"/>
    <w:rsid w:val="00FB53AF"/>
    <w:rsid w:val="00FC599E"/>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3FE82"/>
  <w15:chartTrackingRefBased/>
  <w15:docId w15:val="{1417941E-0DA8-4234-83AB-855ABC5F6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63953"/>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863953"/>
    <w:pPr>
      <w:tabs>
        <w:tab w:val="center" w:pos="4153"/>
        <w:tab w:val="right" w:pos="8306"/>
      </w:tabs>
    </w:pPr>
  </w:style>
  <w:style w:type="character" w:customStyle="1" w:styleId="FooterChar">
    <w:name w:val="Footer Char"/>
    <w:basedOn w:val="DefaultParagraphFont"/>
    <w:link w:val="Footer"/>
    <w:rsid w:val="00863953"/>
    <w:rPr>
      <w:rFonts w:ascii="Times New Roman" w:eastAsia="Times New Roman" w:hAnsi="Times New Roman" w:cs="Times New Roman"/>
      <w:color w:val="000000"/>
      <w:sz w:val="24"/>
      <w:szCs w:val="24"/>
      <w:lang w:eastAsia="lv-LV"/>
    </w:rPr>
  </w:style>
  <w:style w:type="paragraph" w:customStyle="1" w:styleId="Standard">
    <w:name w:val="Standard"/>
    <w:rsid w:val="00863953"/>
    <w:pPr>
      <w:suppressAutoHyphens/>
      <w:autoSpaceDN w:val="0"/>
      <w:spacing w:after="200" w:line="276" w:lineRule="auto"/>
    </w:pPr>
    <w:rPr>
      <w:rFonts w:ascii="Times New Roman" w:eastAsia="Calibri" w:hAnsi="Times New Roman" w:cs="Times New Roman"/>
      <w:kern w:val="3"/>
      <w:sz w:val="28"/>
    </w:rPr>
  </w:style>
  <w:style w:type="paragraph" w:styleId="ListParagraph">
    <w:name w:val="List Paragraph"/>
    <w:basedOn w:val="Normal"/>
    <w:uiPriority w:val="99"/>
    <w:qFormat/>
    <w:rsid w:val="00863953"/>
    <w:pPr>
      <w:pBdr>
        <w:top w:val="none" w:sz="0" w:space="0" w:color="auto"/>
        <w:left w:val="none" w:sz="0" w:space="0" w:color="auto"/>
        <w:bottom w:val="none" w:sz="0" w:space="0" w:color="auto"/>
        <w:right w:val="none" w:sz="0" w:space="0" w:color="auto"/>
        <w:between w:val="none" w:sz="0" w:space="0" w:color="auto"/>
      </w:pBdr>
      <w:spacing w:after="160" w:line="25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EE0CFC"/>
    <w:pPr>
      <w:tabs>
        <w:tab w:val="center" w:pos="4153"/>
        <w:tab w:val="right" w:pos="8306"/>
      </w:tabs>
    </w:pPr>
  </w:style>
  <w:style w:type="character" w:customStyle="1" w:styleId="HeaderChar">
    <w:name w:val="Header Char"/>
    <w:basedOn w:val="DefaultParagraphFont"/>
    <w:link w:val="Header"/>
    <w:uiPriority w:val="99"/>
    <w:rsid w:val="00EE0CFC"/>
    <w:rPr>
      <w:rFonts w:ascii="Times New Roman" w:eastAsia="Times New Roman" w:hAnsi="Times New Roman" w:cs="Times New Roman"/>
      <w:color w:val="000000"/>
      <w:sz w:val="24"/>
      <w:szCs w:val="24"/>
      <w:lang w:eastAsia="lv-LV"/>
    </w:rPr>
  </w:style>
  <w:style w:type="paragraph" w:customStyle="1" w:styleId="naiskr">
    <w:name w:val="naiskr"/>
    <w:basedOn w:val="Normal"/>
    <w:rsid w:val="00093DEF"/>
    <w:pPr>
      <w:pBdr>
        <w:top w:val="none" w:sz="0" w:space="0" w:color="auto"/>
        <w:left w:val="none" w:sz="0" w:space="0" w:color="auto"/>
        <w:bottom w:val="none" w:sz="0" w:space="0" w:color="auto"/>
        <w:right w:val="none" w:sz="0" w:space="0" w:color="auto"/>
        <w:between w:val="none" w:sz="0" w:space="0" w:color="auto"/>
      </w:pBdr>
      <w:spacing w:before="75" w:after="75"/>
    </w:pPr>
    <w:rPr>
      <w:color w:val="auto"/>
    </w:rPr>
  </w:style>
  <w:style w:type="paragraph" w:customStyle="1" w:styleId="tv213">
    <w:name w:val="tv213"/>
    <w:basedOn w:val="Normal"/>
    <w:rsid w:val="00093DE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FootnoteText">
    <w:name w:val="footnote text"/>
    <w:aliases w:val="Footnote,Fußnote,Char, Char,fn,Footnote Text2,Footnote Text11,ALTS FOOTNOTE11,Footnote Text Char111,Footnote Text Char Char Char11,Footnote Text Char1 Char Char Char Char11,Footnote Text Char1 Char Char Char11,ALTS FOOTNOTE2,Footnote Text1"/>
    <w:basedOn w:val="Normal"/>
    <w:link w:val="FootnoteTextChar"/>
    <w:uiPriority w:val="99"/>
    <w:rsid w:val="00093DEF"/>
    <w:pPr>
      <w:pBdr>
        <w:top w:val="none" w:sz="0" w:space="0" w:color="auto"/>
        <w:left w:val="none" w:sz="0" w:space="0" w:color="auto"/>
        <w:bottom w:val="none" w:sz="0" w:space="0" w:color="auto"/>
        <w:right w:val="none" w:sz="0" w:space="0" w:color="auto"/>
        <w:between w:val="none" w:sz="0" w:space="0" w:color="auto"/>
      </w:pBdr>
    </w:pPr>
    <w:rPr>
      <w:color w:val="auto"/>
      <w:sz w:val="20"/>
      <w:szCs w:val="20"/>
    </w:rPr>
  </w:style>
  <w:style w:type="character" w:customStyle="1" w:styleId="FootnoteTextChar">
    <w:name w:val="Footnote Text Char"/>
    <w:aliases w:val="Footnote Char,Fußnote Char,Char Char, Char Char,fn Char,Footnote Text2 Char,Footnote Text11 Char,ALTS FOOTNOTE11 Char,Footnote Text Char111 Char,Footnote Text Char Char Char11 Char,Footnote Text Char1 Char Char Char Char11 Char"/>
    <w:basedOn w:val="DefaultParagraphFont"/>
    <w:link w:val="FootnoteText"/>
    <w:uiPriority w:val="99"/>
    <w:rsid w:val="00093DEF"/>
    <w:rPr>
      <w:rFonts w:ascii="Times New Roman" w:eastAsia="Times New Roman" w:hAnsi="Times New Roman" w:cs="Times New Roman"/>
      <w:sz w:val="20"/>
      <w:szCs w:val="20"/>
      <w:lang w:eastAsia="lv-LV"/>
    </w:rPr>
  </w:style>
  <w:style w:type="character" w:styleId="CommentReference">
    <w:name w:val="annotation reference"/>
    <w:basedOn w:val="DefaultParagraphFont"/>
    <w:uiPriority w:val="99"/>
    <w:semiHidden/>
    <w:unhideWhenUsed/>
    <w:rsid w:val="00813F8D"/>
    <w:rPr>
      <w:sz w:val="16"/>
      <w:szCs w:val="16"/>
    </w:rPr>
  </w:style>
  <w:style w:type="paragraph" w:styleId="CommentText">
    <w:name w:val="annotation text"/>
    <w:basedOn w:val="Normal"/>
    <w:link w:val="CommentTextChar"/>
    <w:uiPriority w:val="99"/>
    <w:unhideWhenUsed/>
    <w:rsid w:val="00813F8D"/>
    <w:rPr>
      <w:sz w:val="20"/>
      <w:szCs w:val="20"/>
    </w:rPr>
  </w:style>
  <w:style w:type="character" w:customStyle="1" w:styleId="CommentTextChar">
    <w:name w:val="Comment Text Char"/>
    <w:basedOn w:val="DefaultParagraphFont"/>
    <w:link w:val="CommentText"/>
    <w:uiPriority w:val="99"/>
    <w:rsid w:val="00813F8D"/>
    <w:rPr>
      <w:rFonts w:ascii="Times New Roman" w:eastAsia="Times New Roman" w:hAnsi="Times New Roman" w:cs="Times New Roman"/>
      <w:color w:val="000000"/>
      <w:sz w:val="20"/>
      <w:szCs w:val="20"/>
      <w:lang w:eastAsia="lv-LV"/>
    </w:rPr>
  </w:style>
  <w:style w:type="paragraph" w:styleId="CommentSubject">
    <w:name w:val="annotation subject"/>
    <w:basedOn w:val="CommentText"/>
    <w:next w:val="CommentText"/>
    <w:link w:val="CommentSubjectChar"/>
    <w:uiPriority w:val="99"/>
    <w:semiHidden/>
    <w:unhideWhenUsed/>
    <w:rsid w:val="00813F8D"/>
    <w:rPr>
      <w:b/>
      <w:bCs/>
    </w:rPr>
  </w:style>
  <w:style w:type="character" w:customStyle="1" w:styleId="CommentSubjectChar">
    <w:name w:val="Comment Subject Char"/>
    <w:basedOn w:val="CommentTextChar"/>
    <w:link w:val="CommentSubject"/>
    <w:uiPriority w:val="99"/>
    <w:semiHidden/>
    <w:rsid w:val="00813F8D"/>
    <w:rPr>
      <w:rFonts w:ascii="Times New Roman" w:eastAsia="Times New Roman" w:hAnsi="Times New Roman" w:cs="Times New Roman"/>
      <w:b/>
      <w:bCs/>
      <w:color w:val="000000"/>
      <w:sz w:val="20"/>
      <w:szCs w:val="20"/>
      <w:lang w:eastAsia="lv-LV"/>
    </w:rPr>
  </w:style>
  <w:style w:type="paragraph" w:styleId="BalloonText">
    <w:name w:val="Balloon Text"/>
    <w:basedOn w:val="Normal"/>
    <w:link w:val="BalloonTextChar"/>
    <w:uiPriority w:val="99"/>
    <w:semiHidden/>
    <w:unhideWhenUsed/>
    <w:rsid w:val="00813F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F8D"/>
    <w:rPr>
      <w:rFonts w:ascii="Segoe UI" w:eastAsia="Times New Roman" w:hAnsi="Segoe UI" w:cs="Segoe UI"/>
      <w:color w:val="000000"/>
      <w:sz w:val="18"/>
      <w:szCs w:val="18"/>
      <w:lang w:eastAsia="lv-LV"/>
    </w:rPr>
  </w:style>
  <w:style w:type="character" w:styleId="Hyperlink">
    <w:name w:val="Hyperlink"/>
    <w:basedOn w:val="DefaultParagraphFont"/>
    <w:uiPriority w:val="99"/>
    <w:unhideWhenUsed/>
    <w:rsid w:val="009D0073"/>
    <w:rPr>
      <w:color w:val="0563C1" w:themeColor="hyperlink"/>
      <w:u w:val="single"/>
    </w:rPr>
  </w:style>
  <w:style w:type="character" w:styleId="FollowedHyperlink">
    <w:name w:val="FollowedHyperlink"/>
    <w:basedOn w:val="DefaultParagraphFont"/>
    <w:uiPriority w:val="99"/>
    <w:semiHidden/>
    <w:unhideWhenUsed/>
    <w:rsid w:val="002F14AD"/>
    <w:rPr>
      <w:color w:val="954F72" w:themeColor="followedHyperlink"/>
      <w:u w:val="single"/>
    </w:rPr>
  </w:style>
  <w:style w:type="paragraph" w:customStyle="1" w:styleId="naisnod">
    <w:name w:val="naisnod"/>
    <w:basedOn w:val="Normal"/>
    <w:rsid w:val="002F14AD"/>
    <w:pPr>
      <w:pBdr>
        <w:top w:val="none" w:sz="0" w:space="0" w:color="auto"/>
        <w:left w:val="none" w:sz="0" w:space="0" w:color="auto"/>
        <w:bottom w:val="none" w:sz="0" w:space="0" w:color="auto"/>
        <w:right w:val="none" w:sz="0" w:space="0" w:color="auto"/>
        <w:between w:val="none" w:sz="0" w:space="0" w:color="auto"/>
      </w:pBdr>
      <w:spacing w:before="150" w:after="150"/>
      <w:jc w:val="center"/>
    </w:pPr>
    <w:rPr>
      <w:rFonts w:eastAsia="Calibri"/>
      <w:b/>
      <w:bCs/>
      <w:color w:val="auto"/>
    </w:rPr>
  </w:style>
  <w:style w:type="character" w:styleId="FootnoteReference">
    <w:name w:val="footnote reference"/>
    <w:aliases w:val="Footnote Reference Number,Footnote symbol,Nota,Footnote number,de nota al pie,Ref,SUPERS,Voetnootmarkering,Char1,fr,o,(NECG) Footnote Reference,Times 10 Point,Exposant 3 Point,Footnote reference number,FR, Char1,Ch"/>
    <w:basedOn w:val="DefaultParagraphFont"/>
    <w:unhideWhenUsed/>
    <w:rsid w:val="00B43A78"/>
    <w:rPr>
      <w:vertAlign w:val="superscript"/>
    </w:rPr>
  </w:style>
  <w:style w:type="character" w:customStyle="1" w:styleId="WW8Num8z0">
    <w:name w:val="WW8Num8z0"/>
    <w:rsid w:val="00F40100"/>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729528">
      <w:bodyDiv w:val="1"/>
      <w:marLeft w:val="0"/>
      <w:marRight w:val="0"/>
      <w:marTop w:val="0"/>
      <w:marBottom w:val="0"/>
      <w:divBdr>
        <w:top w:val="none" w:sz="0" w:space="0" w:color="auto"/>
        <w:left w:val="none" w:sz="0" w:space="0" w:color="auto"/>
        <w:bottom w:val="none" w:sz="0" w:space="0" w:color="auto"/>
        <w:right w:val="none" w:sz="0" w:space="0" w:color="auto"/>
      </w:divBdr>
    </w:div>
    <w:div w:id="846212127">
      <w:bodyDiv w:val="1"/>
      <w:marLeft w:val="0"/>
      <w:marRight w:val="0"/>
      <w:marTop w:val="0"/>
      <w:marBottom w:val="0"/>
      <w:divBdr>
        <w:top w:val="none" w:sz="0" w:space="0" w:color="auto"/>
        <w:left w:val="none" w:sz="0" w:space="0" w:color="auto"/>
        <w:bottom w:val="none" w:sz="0" w:space="0" w:color="auto"/>
        <w:right w:val="none" w:sz="0" w:space="0" w:color="auto"/>
      </w:divBdr>
      <w:divsChild>
        <w:div w:id="24139510">
          <w:marLeft w:val="0"/>
          <w:marRight w:val="0"/>
          <w:marTop w:val="0"/>
          <w:marBottom w:val="0"/>
          <w:divBdr>
            <w:top w:val="none" w:sz="0" w:space="0" w:color="auto"/>
            <w:left w:val="none" w:sz="0" w:space="0" w:color="auto"/>
            <w:bottom w:val="none" w:sz="0" w:space="0" w:color="auto"/>
            <w:right w:val="none" w:sz="0" w:space="0" w:color="auto"/>
          </w:divBdr>
          <w:divsChild>
            <w:div w:id="395710568">
              <w:marLeft w:val="0"/>
              <w:marRight w:val="0"/>
              <w:marTop w:val="0"/>
              <w:marBottom w:val="0"/>
              <w:divBdr>
                <w:top w:val="none" w:sz="0" w:space="0" w:color="auto"/>
                <w:left w:val="none" w:sz="0" w:space="0" w:color="auto"/>
                <w:bottom w:val="none" w:sz="0" w:space="0" w:color="auto"/>
                <w:right w:val="none" w:sz="0" w:space="0" w:color="auto"/>
              </w:divBdr>
              <w:divsChild>
                <w:div w:id="12852794">
                  <w:marLeft w:val="0"/>
                  <w:marRight w:val="0"/>
                  <w:marTop w:val="0"/>
                  <w:marBottom w:val="0"/>
                  <w:divBdr>
                    <w:top w:val="none" w:sz="0" w:space="0" w:color="auto"/>
                    <w:left w:val="none" w:sz="0" w:space="0" w:color="auto"/>
                    <w:bottom w:val="none" w:sz="0" w:space="0" w:color="auto"/>
                    <w:right w:val="none" w:sz="0" w:space="0" w:color="auto"/>
                  </w:divBdr>
                  <w:divsChild>
                    <w:div w:id="947002743">
                      <w:marLeft w:val="0"/>
                      <w:marRight w:val="0"/>
                      <w:marTop w:val="480"/>
                      <w:marBottom w:val="240"/>
                      <w:divBdr>
                        <w:top w:val="none" w:sz="0" w:space="0" w:color="auto"/>
                        <w:left w:val="none" w:sz="0" w:space="0" w:color="auto"/>
                        <w:bottom w:val="none" w:sz="0" w:space="0" w:color="auto"/>
                        <w:right w:val="none" w:sz="0" w:space="0" w:color="auto"/>
                      </w:divBdr>
                    </w:div>
                    <w:div w:id="2078016018">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6C7F9-CAB4-4FBB-911A-3D1F2113D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14568</Words>
  <Characters>8305</Characters>
  <Application>Microsoft Office Word</Application>
  <DocSecurity>0</DocSecurity>
  <Lines>69</Lines>
  <Paragraphs>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Šaušanas instruktoru sertificēšanas kārtība</vt:lpstr>
      <vt:lpstr>Šaušanas instruktoru sertificēšanas kārtība</vt:lpstr>
    </vt:vector>
  </TitlesOfParts>
  <Company/>
  <LinksUpToDate>false</LinksUpToDate>
  <CharactersWithSpaces>22828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Šaušanas instruktoru sertificēšanas kārtība</dc:title>
  <dc:subject>ANOTĀCIJA</dc:subject>
  <dc:creator>Māris Liepiņš LSFP</dc:creator>
  <cp:keywords/>
  <dc:description/>
  <cp:lastModifiedBy>Edgars Severs</cp:lastModifiedBy>
  <cp:revision>11</cp:revision>
  <dcterms:created xsi:type="dcterms:W3CDTF">2020-12-13T20:16:00Z</dcterms:created>
  <dcterms:modified xsi:type="dcterms:W3CDTF">2020-12-13T20:38:00Z</dcterms:modified>
</cp:coreProperties>
</file>