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88" w:rsidRPr="006063E2" w:rsidRDefault="006063E2" w:rsidP="006063E2">
      <w:pPr>
        <w:pStyle w:val="Title"/>
        <w:ind w:firstLine="709"/>
        <w:outlineLvl w:val="0"/>
        <w:rPr>
          <w:b/>
          <w:sz w:val="24"/>
          <w:szCs w:val="24"/>
        </w:rPr>
      </w:pPr>
      <w:r w:rsidRPr="006063E2">
        <w:rPr>
          <w:b/>
          <w:bCs/>
          <w:sz w:val="24"/>
          <w:szCs w:val="24"/>
        </w:rPr>
        <w:t xml:space="preserve">Ministru kabineta noteikumu projekta “Grozījumi Ministru kabineta </w:t>
      </w:r>
      <w:r w:rsidRPr="006063E2">
        <w:rPr>
          <w:b/>
          <w:sz w:val="24"/>
          <w:szCs w:val="24"/>
        </w:rPr>
        <w:t xml:space="preserve">2017. gada 12.decembra </w:t>
      </w:r>
      <w:r w:rsidRPr="006063E2">
        <w:rPr>
          <w:b/>
          <w:bCs/>
          <w:sz w:val="24"/>
          <w:szCs w:val="24"/>
        </w:rPr>
        <w:t>noteikumos Nr. 724 “Noteikumi par Latvijas Zinātnes padomes ekspertu kvalifikācijas kritērijiem, ekspertu komisiju izveidošanu un to darbības organizēšanu”</w:t>
      </w:r>
      <w:r>
        <w:rPr>
          <w:b/>
          <w:bCs/>
          <w:sz w:val="24"/>
          <w:szCs w:val="24"/>
        </w:rPr>
        <w:t xml:space="preserve"> </w:t>
      </w:r>
      <w:r w:rsidR="00BD5588" w:rsidRPr="006063E2">
        <w:rPr>
          <w:b/>
          <w:bCs/>
          <w:sz w:val="24"/>
          <w:szCs w:val="24"/>
        </w:rPr>
        <w:t>sākotnējās ietekmes novērtējuma ziņojums (anotācija)</w:t>
      </w:r>
    </w:p>
    <w:p w:rsidR="00BD5588" w:rsidRPr="006063E2" w:rsidRDefault="00BD5588" w:rsidP="006063E2">
      <w:pPr>
        <w:pStyle w:val="Title"/>
        <w:spacing w:before="130" w:line="260" w:lineRule="exact"/>
        <w:ind w:firstLine="539"/>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16"/>
        <w:gridCol w:w="5484"/>
      </w:tblGrid>
      <w:tr w:rsidR="00BD5588" w:rsidRPr="006063E2" w:rsidTr="006E31E0">
        <w:trPr>
          <w:cantSplit/>
        </w:trPr>
        <w:tc>
          <w:tcPr>
            <w:tcW w:w="8500" w:type="dxa"/>
            <w:gridSpan w:val="2"/>
            <w:shd w:val="clear" w:color="auto" w:fill="FFFFFF"/>
            <w:vAlign w:val="center"/>
            <w:hideMark/>
          </w:tcPr>
          <w:p w:rsidR="00BD5588" w:rsidRPr="006063E2" w:rsidRDefault="00BD5588" w:rsidP="009E0502">
            <w:pPr>
              <w:jc w:val="center"/>
              <w:rPr>
                <w:b/>
                <w:iCs/>
                <w:lang w:eastAsia="en-US"/>
              </w:rPr>
            </w:pPr>
            <w:r w:rsidRPr="006063E2">
              <w:rPr>
                <w:b/>
                <w:iCs/>
                <w:lang w:eastAsia="en-US"/>
              </w:rPr>
              <w:t>Tiesību akta projekta anotācijas kopsavilkums</w:t>
            </w:r>
          </w:p>
        </w:tc>
      </w:tr>
      <w:tr w:rsidR="00BD5588" w:rsidRPr="006063E2" w:rsidTr="006E31E0">
        <w:trPr>
          <w:cantSplit/>
        </w:trPr>
        <w:tc>
          <w:tcPr>
            <w:tcW w:w="3016" w:type="dxa"/>
            <w:shd w:val="clear" w:color="auto" w:fill="FFFFFF"/>
            <w:hideMark/>
          </w:tcPr>
          <w:p w:rsidR="00BD5588" w:rsidRPr="006063E2" w:rsidRDefault="00BD5588" w:rsidP="009E0502">
            <w:pPr>
              <w:rPr>
                <w:iCs/>
                <w:lang w:eastAsia="en-US"/>
              </w:rPr>
            </w:pPr>
            <w:r w:rsidRPr="006063E2">
              <w:rPr>
                <w:iCs/>
                <w:lang w:eastAsia="en-US"/>
              </w:rPr>
              <w:t>Mērķis, risinājums un projekta spēkā stāšanās laiks (500 zīmes bez atstarpēm)</w:t>
            </w:r>
          </w:p>
        </w:tc>
        <w:tc>
          <w:tcPr>
            <w:tcW w:w="5484" w:type="dxa"/>
            <w:shd w:val="clear" w:color="auto" w:fill="FFFFFF"/>
            <w:hideMark/>
          </w:tcPr>
          <w:p w:rsidR="008449B9" w:rsidRPr="008449B9" w:rsidRDefault="00497D90" w:rsidP="008449B9">
            <w:pPr>
              <w:jc w:val="both"/>
              <w:rPr>
                <w:iCs/>
                <w:lang w:eastAsia="en-US"/>
              </w:rPr>
            </w:pPr>
            <w:r>
              <w:rPr>
                <w:iCs/>
                <w:lang w:eastAsia="en-US"/>
              </w:rPr>
              <w:t xml:space="preserve">Šī </w:t>
            </w:r>
            <w:r w:rsidR="008449B9" w:rsidRPr="008449B9">
              <w:rPr>
                <w:iCs/>
                <w:lang w:eastAsia="en-US"/>
              </w:rPr>
              <w:t>tiesību akt</w:t>
            </w:r>
            <w:r>
              <w:rPr>
                <w:iCs/>
                <w:lang w:eastAsia="en-US"/>
              </w:rPr>
              <w:t>a</w:t>
            </w:r>
            <w:r w:rsidR="008449B9" w:rsidRPr="008449B9">
              <w:rPr>
                <w:iCs/>
                <w:lang w:eastAsia="en-US"/>
              </w:rPr>
              <w:t xml:space="preserve"> mērķis noteikt Latvijas zinātnes padomes ekspertu kvalifikācijas kritērijus un kritērijus šī eksperta kvalifikācijai Latvijas </w:t>
            </w:r>
            <w:r w:rsidR="00AB7302">
              <w:rPr>
                <w:iCs/>
                <w:lang w:eastAsia="en-US"/>
              </w:rPr>
              <w:t>Z</w:t>
            </w:r>
            <w:r w:rsidR="008449B9" w:rsidRPr="008449B9">
              <w:rPr>
                <w:iCs/>
                <w:lang w:eastAsia="en-US"/>
              </w:rPr>
              <w:t>inātnes padomes ekspertu komisijas locekļa amatam.</w:t>
            </w:r>
          </w:p>
          <w:p w:rsidR="008449B9" w:rsidRPr="008449B9" w:rsidRDefault="008449B9" w:rsidP="008449B9">
            <w:pPr>
              <w:jc w:val="both"/>
              <w:rPr>
                <w:iCs/>
                <w:lang w:eastAsia="en-US"/>
              </w:rPr>
            </w:pPr>
            <w:r w:rsidRPr="008449B9">
              <w:rPr>
                <w:iCs/>
                <w:lang w:eastAsia="en-US"/>
              </w:rPr>
              <w:t xml:space="preserve">Risinājums – zinātnieks varēs </w:t>
            </w:r>
            <w:r w:rsidR="00AB7302">
              <w:rPr>
                <w:iCs/>
                <w:lang w:eastAsia="en-US"/>
              </w:rPr>
              <w:t>iegūt</w:t>
            </w:r>
            <w:r w:rsidRPr="008449B9">
              <w:rPr>
                <w:iCs/>
                <w:lang w:eastAsia="en-US"/>
              </w:rPr>
              <w:t xml:space="preserve"> tiesības uz Latvijas </w:t>
            </w:r>
            <w:r w:rsidR="00AB7302">
              <w:rPr>
                <w:iCs/>
                <w:lang w:eastAsia="en-US"/>
              </w:rPr>
              <w:t>Z</w:t>
            </w:r>
            <w:r w:rsidRPr="008449B9">
              <w:rPr>
                <w:iCs/>
                <w:lang w:eastAsia="en-US"/>
              </w:rPr>
              <w:t xml:space="preserve">inātnes padomes eksperta amatu un </w:t>
            </w:r>
            <w:r w:rsidR="00AB7302">
              <w:rPr>
                <w:iCs/>
                <w:lang w:eastAsia="en-US"/>
              </w:rPr>
              <w:t xml:space="preserve">kandidēt  uz </w:t>
            </w:r>
            <w:r w:rsidRPr="008449B9">
              <w:rPr>
                <w:iCs/>
                <w:lang w:eastAsia="en-US"/>
              </w:rPr>
              <w:t xml:space="preserve">Latvijas </w:t>
            </w:r>
            <w:r w:rsidR="00AB7302">
              <w:rPr>
                <w:iCs/>
                <w:lang w:eastAsia="en-US"/>
              </w:rPr>
              <w:t>Z</w:t>
            </w:r>
            <w:r w:rsidRPr="008449B9">
              <w:rPr>
                <w:iCs/>
                <w:lang w:eastAsia="en-US"/>
              </w:rPr>
              <w:t xml:space="preserve">inātnes padomes ekspertu komisijas locekļa </w:t>
            </w:r>
            <w:r w:rsidR="00AB7302">
              <w:rPr>
                <w:iCs/>
                <w:lang w:eastAsia="en-US"/>
              </w:rPr>
              <w:t>vietu</w:t>
            </w:r>
            <w:r w:rsidRPr="008449B9">
              <w:rPr>
                <w:iCs/>
                <w:lang w:eastAsia="en-US"/>
              </w:rPr>
              <w:t xml:space="preserve">. </w:t>
            </w:r>
          </w:p>
          <w:p w:rsidR="008449B9" w:rsidRPr="008449B9" w:rsidRDefault="008449B9" w:rsidP="008449B9">
            <w:pPr>
              <w:jc w:val="both"/>
              <w:rPr>
                <w:iCs/>
                <w:lang w:eastAsia="en-US"/>
              </w:rPr>
            </w:pPr>
            <w:r w:rsidRPr="008449B9">
              <w:rPr>
                <w:iCs/>
              </w:rPr>
              <w:t>Stāsies spēkā Oficiālo publikāciju un tiesiskās informācijas likumā noteiktajā kārtībā.</w:t>
            </w:r>
          </w:p>
        </w:tc>
      </w:tr>
    </w:tbl>
    <w:p w:rsidR="00BD5588" w:rsidRPr="006063E2" w:rsidRDefault="00BD5588" w:rsidP="00BD5588">
      <w:pPr>
        <w:pStyle w:val="Title"/>
        <w:spacing w:before="130" w:line="260" w:lineRule="exact"/>
        <w:ind w:firstLine="539"/>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455"/>
        <w:gridCol w:w="5528"/>
      </w:tblGrid>
      <w:tr w:rsidR="00BD5588" w:rsidRPr="006063E2" w:rsidTr="00951BB9">
        <w:tc>
          <w:tcPr>
            <w:tcW w:w="5000" w:type="pct"/>
            <w:gridSpan w:val="3"/>
            <w:vAlign w:val="center"/>
            <w:hideMark/>
          </w:tcPr>
          <w:p w:rsidR="00BD5588" w:rsidRPr="006063E2" w:rsidRDefault="00BD5588" w:rsidP="009E0502">
            <w:pPr>
              <w:jc w:val="center"/>
              <w:rPr>
                <w:b/>
                <w:bCs/>
              </w:rPr>
            </w:pPr>
            <w:r w:rsidRPr="006063E2">
              <w:rPr>
                <w:b/>
                <w:bCs/>
              </w:rPr>
              <w:t>I. Tiesību akta projekta izstrādes nepieciešamība</w:t>
            </w:r>
          </w:p>
        </w:tc>
      </w:tr>
      <w:tr w:rsidR="00BD5588" w:rsidRPr="006063E2" w:rsidTr="00951BB9">
        <w:tc>
          <w:tcPr>
            <w:tcW w:w="304" w:type="pct"/>
            <w:hideMark/>
          </w:tcPr>
          <w:p w:rsidR="00BD5588" w:rsidRPr="006063E2" w:rsidRDefault="00BD5588" w:rsidP="009E0502">
            <w:pPr>
              <w:jc w:val="center"/>
            </w:pPr>
            <w:r w:rsidRPr="006063E2">
              <w:t>1.</w:t>
            </w:r>
          </w:p>
        </w:tc>
        <w:tc>
          <w:tcPr>
            <w:tcW w:w="1444" w:type="pct"/>
            <w:hideMark/>
          </w:tcPr>
          <w:p w:rsidR="00BD5588" w:rsidRPr="006063E2" w:rsidRDefault="00BD5588" w:rsidP="009E0502">
            <w:r w:rsidRPr="006063E2">
              <w:t>Pamatojums</w:t>
            </w:r>
          </w:p>
        </w:tc>
        <w:tc>
          <w:tcPr>
            <w:tcW w:w="3252" w:type="pct"/>
            <w:hideMark/>
          </w:tcPr>
          <w:p w:rsidR="00FF2EB7" w:rsidRPr="000A336E" w:rsidRDefault="000A336E" w:rsidP="00FF2EB7">
            <w:pPr>
              <w:ind w:firstLine="396"/>
              <w:jc w:val="both"/>
            </w:pPr>
            <w:r>
              <w:rPr>
                <w:rFonts w:ascii="Arial" w:hAnsi="Arial" w:cs="Arial"/>
              </w:rPr>
              <w:t xml:space="preserve"> </w:t>
            </w:r>
            <w:r w:rsidRPr="000A336E">
              <w:t xml:space="preserve">Izglītības un zinātnes ministrija (turpmāk – ministrija) ir sagatavojusi </w:t>
            </w:r>
            <w:r w:rsidRPr="000A336E">
              <w:rPr>
                <w:bCs/>
              </w:rPr>
              <w:t xml:space="preserve">Ministru kabineta noteikumu projekta “Grozījumi Ministru kabineta </w:t>
            </w:r>
            <w:r w:rsidRPr="000A336E">
              <w:t xml:space="preserve">2017. gada 12.decembra </w:t>
            </w:r>
            <w:r w:rsidRPr="000A336E">
              <w:rPr>
                <w:bCs/>
              </w:rPr>
              <w:t xml:space="preserve">noteikumos Nr. 724 “Noteikumi par Latvijas Zinātnes padomes ekspertu kvalifikācijas kritērijiem, ekspertu komisiju izveidošanu un to darbības organizēšanu” (turpmāk – projekts) saskaņā ar </w:t>
            </w:r>
            <w:hyperlink r:id="rId8" w:tgtFrame="_blank" w:history="1">
              <w:r w:rsidRPr="000A336E">
                <w:rPr>
                  <w:iCs/>
                </w:rPr>
                <w:t>Zinātniskās darbības likuma</w:t>
              </w:r>
            </w:hyperlink>
            <w:r>
              <w:rPr>
                <w:iCs/>
              </w:rPr>
              <w:t xml:space="preserve"> </w:t>
            </w:r>
            <w:hyperlink r:id="rId9" w:anchor="p18" w:tgtFrame="_blank" w:history="1">
              <w:r w:rsidRPr="000A336E">
                <w:rPr>
                  <w:iCs/>
                </w:rPr>
                <w:t>18. panta</w:t>
              </w:r>
            </w:hyperlink>
            <w:r w:rsidRPr="000A336E">
              <w:rPr>
                <w:iCs/>
              </w:rPr>
              <w:t xml:space="preserve"> piekto daļu, ka </w:t>
            </w:r>
            <w:r w:rsidRPr="000A336E">
              <w:t>ekspertu kvalifikācijas kritērijus nosaka un pārējos ar ekspertu komisiju izveidošanu un darbību saistītos jautājumus regulē Ministru kabinets. Latvijas Zinātnes padome ir atbildīga par noteiktās ekspertīzes kārtības ievērošanu.</w:t>
            </w:r>
            <w:r w:rsidR="00FF2EB7">
              <w:t xml:space="preserve"> </w:t>
            </w:r>
          </w:p>
        </w:tc>
      </w:tr>
      <w:tr w:rsidR="00BD5588" w:rsidRPr="006063E2" w:rsidTr="00951BB9">
        <w:tc>
          <w:tcPr>
            <w:tcW w:w="304" w:type="pct"/>
            <w:hideMark/>
          </w:tcPr>
          <w:p w:rsidR="00BD5588" w:rsidRPr="006063E2" w:rsidRDefault="00BD5588" w:rsidP="009E0502">
            <w:pPr>
              <w:jc w:val="center"/>
            </w:pPr>
            <w:r w:rsidRPr="006063E2">
              <w:t>2.</w:t>
            </w:r>
          </w:p>
        </w:tc>
        <w:tc>
          <w:tcPr>
            <w:tcW w:w="1444" w:type="pct"/>
            <w:hideMark/>
          </w:tcPr>
          <w:p w:rsidR="00BD5588" w:rsidRPr="006063E2" w:rsidRDefault="00BD5588" w:rsidP="009E0502">
            <w:r w:rsidRPr="006063E2">
              <w:t>Pašreizējā situācija un problēmas, kuru risināšanai tiesību akta projekts izstrādāts, tiesiskā regulējuma mērķis un būtība</w:t>
            </w:r>
          </w:p>
        </w:tc>
        <w:tc>
          <w:tcPr>
            <w:tcW w:w="3252" w:type="pct"/>
            <w:hideMark/>
          </w:tcPr>
          <w:p w:rsidR="00237C90" w:rsidRDefault="008449B9" w:rsidP="008449B9">
            <w:pPr>
              <w:ind w:firstLine="396"/>
              <w:jc w:val="both"/>
            </w:pPr>
            <w:r w:rsidRPr="008449B9">
              <w:rPr>
                <w:u w:val="single"/>
              </w:rPr>
              <w:t>Pašreizējā situācijā</w:t>
            </w:r>
            <w:r w:rsidRPr="008449B9">
              <w:t xml:space="preserve"> </w:t>
            </w:r>
          </w:p>
          <w:p w:rsidR="00237C90" w:rsidRDefault="00237C90" w:rsidP="00237C90">
            <w:pPr>
              <w:jc w:val="both"/>
            </w:pPr>
            <w:r>
              <w:t xml:space="preserve">     </w:t>
            </w:r>
            <w:r w:rsidRPr="00237C90">
              <w:t xml:space="preserve">Satversmes tiesa 2019.gada 25.februārī ir ierosinājusi lietu “Par </w:t>
            </w:r>
            <w:r w:rsidRPr="00237C90">
              <w:rPr>
                <w:bCs/>
              </w:rPr>
              <w:t xml:space="preserve">Ministru kabineta </w:t>
            </w:r>
            <w:r w:rsidRPr="00237C90">
              <w:t xml:space="preserve">2017. gada 12.decembra </w:t>
            </w:r>
            <w:r w:rsidRPr="00237C90">
              <w:rPr>
                <w:bCs/>
              </w:rPr>
              <w:t>noteikumu Nr. 724 “Noteikumi par Latvijas Zinātnes padomes ekspertu kvalifikācijas kritērijiem, ekspertu komisiju izveidošanu un to darbības organizēšanu” 3.punkta un Latvijas Zinātnes padomes 2018.gada 15.janvāra lēmuma Nr.19-1-1 “Latvijas Zinātnes padomes  eksperta tiesību piešķiršanas kārtība” atbilstību Latvijas Republikas Satversmes 1. un 64.pantam”.</w:t>
            </w:r>
          </w:p>
          <w:p w:rsidR="008449B9" w:rsidRDefault="008449B9" w:rsidP="008449B9">
            <w:pPr>
              <w:ind w:firstLine="396"/>
              <w:jc w:val="both"/>
            </w:pPr>
            <w:r w:rsidRPr="008449B9">
              <w:rPr>
                <w:bCs/>
              </w:rPr>
              <w:t xml:space="preserve">Ministru kabineta </w:t>
            </w:r>
            <w:r w:rsidRPr="008449B9">
              <w:t xml:space="preserve">2017. gada 12.decembra </w:t>
            </w:r>
            <w:r w:rsidRPr="008449B9">
              <w:rPr>
                <w:bCs/>
              </w:rPr>
              <w:t>noteikumu Nr. 724 “Noteikumi par Latvijas Zinātnes padomes ekspertu kvalifikācijas kritērijiem, ekspertu komisiju izveidošanu un to darbības organizēšanu” 2.punkts nosaka, ka Latvijas Zinātnes padomes</w:t>
            </w:r>
            <w:r w:rsidRPr="008449B9">
              <w:rPr>
                <w:iCs/>
              </w:rPr>
              <w:t xml:space="preserve"> </w:t>
            </w:r>
            <w:r w:rsidRPr="008449B9">
              <w:t xml:space="preserve">eksperta (turpmāk – </w:t>
            </w:r>
            <w:r w:rsidRPr="008449B9">
              <w:rPr>
                <w:bCs/>
              </w:rPr>
              <w:t>e</w:t>
            </w:r>
            <w:r w:rsidRPr="008449B9">
              <w:t xml:space="preserve">ksperts) tiesības zinātnes nozarē uz laiku, ne ilgāku par trim gadiem, piešķir zinātniekam, kurš pēdējo triju gadu laikā ir veicis zinātnisko darbību attiecīgajā </w:t>
            </w:r>
            <w:r w:rsidRPr="008449B9">
              <w:lastRenderedPageBreak/>
              <w:t>zinātnes nozarē un sasniedzis vismaz trīs rezultātus šādos zinātniskās darbības veidos (kopā):</w:t>
            </w:r>
            <w:r w:rsidRPr="008449B9">
              <w:rPr>
                <w:bCs/>
              </w:rPr>
              <w:t xml:space="preserve"> 1)</w:t>
            </w:r>
            <w:r w:rsidRPr="008449B9">
              <w:t> anonīmi recenzētas zinātniskās publikācijas;</w:t>
            </w:r>
            <w:r w:rsidRPr="008449B9">
              <w:rPr>
                <w:bCs/>
              </w:rPr>
              <w:t xml:space="preserve"> 2) </w:t>
            </w:r>
            <w:r w:rsidRPr="008449B9">
              <w:t>zinātniskā publikācija, kura ir pieejama atvērtajā piekļuvē (</w:t>
            </w:r>
            <w:proofErr w:type="spellStart"/>
            <w:r w:rsidRPr="008449B9">
              <w:rPr>
                <w:i/>
                <w:iCs/>
              </w:rPr>
              <w:t>Open</w:t>
            </w:r>
            <w:proofErr w:type="spellEnd"/>
            <w:r w:rsidRPr="008449B9">
              <w:rPr>
                <w:i/>
                <w:iCs/>
              </w:rPr>
              <w:t xml:space="preserve"> Access</w:t>
            </w:r>
            <w:r w:rsidRPr="008449B9">
              <w:t>);</w:t>
            </w:r>
            <w:r w:rsidRPr="008449B9">
              <w:rPr>
                <w:bCs/>
              </w:rPr>
              <w:t xml:space="preserve"> 3) </w:t>
            </w:r>
            <w:r w:rsidRPr="008449B9">
              <w:t xml:space="preserve">recenzēta zinātniskā monogrāfija. Savukārt noteikumu  </w:t>
            </w:r>
            <w:r w:rsidRPr="008449B9">
              <w:rPr>
                <w:bCs/>
              </w:rPr>
              <w:t xml:space="preserve">3.punkts nosaka, ka </w:t>
            </w:r>
            <w:r w:rsidRPr="008449B9">
              <w:t xml:space="preserve">katra noteikumu </w:t>
            </w:r>
            <w:hyperlink r:id="rId10" w:anchor="p2" w:history="1">
              <w:r w:rsidRPr="008449B9">
                <w:t>2.</w:t>
              </w:r>
            </w:hyperlink>
            <w:r w:rsidRPr="008449B9">
              <w:t xml:space="preserve"> punktā minētā rezultāta kvalitātes kritērijus attiecīgajā zinātnes nozarē, kritēriju izvērtēšanas un eksperta tiesību piešķiršanas kārtību nosaka </w:t>
            </w:r>
            <w:r w:rsidRPr="008449B9">
              <w:rPr>
                <w:bCs/>
              </w:rPr>
              <w:t>Latvijas Zinātnes padome (turpmāk – padome)</w:t>
            </w:r>
            <w:r w:rsidRPr="008449B9">
              <w:t>.</w:t>
            </w:r>
          </w:p>
          <w:p w:rsidR="00240934" w:rsidRDefault="00FF2EB7" w:rsidP="008449B9">
            <w:pPr>
              <w:ind w:firstLine="396"/>
              <w:jc w:val="both"/>
            </w:pPr>
            <w:r>
              <w:t>Jāņem vērā, ka eksperta tiesību iegūšana nav zinātnieka primār</w:t>
            </w:r>
            <w:r w:rsidR="00497D90">
              <w:t>ai</w:t>
            </w:r>
            <w:r>
              <w:t xml:space="preserve">s mērķis. Eksperta tiesību iegūšana ir radoša un aktīva zinātnieka nākamais mērķis, pamatojoties uz sasniegtajiem augstvērtīgajiem zinātniskajiem rezultātiem. Papildus minētajam, zinātniekam saskaņā ar Zinātniskās darbības likuma 6.panta 4.punktu un Zinātnieka ētikas kodeksu  ir pienākums  pastāvīgi pilnveidot  savu zinātnisko kvalifikāciju. </w:t>
            </w:r>
          </w:p>
          <w:p w:rsidR="00FF2EB7" w:rsidRDefault="00227C1E" w:rsidP="008449B9">
            <w:pPr>
              <w:ind w:firstLine="396"/>
              <w:jc w:val="both"/>
            </w:pPr>
            <w:r>
              <w:t>E</w:t>
            </w:r>
            <w:r w:rsidR="00240934">
              <w:t>kspertam</w:t>
            </w:r>
            <w:r>
              <w:t xml:space="preserve"> ir paaugstinātas prasības par publikāciju skaitu (no 2 uz 3), salīdzinot ar iepriekšējo regulējumu</w:t>
            </w:r>
            <w:r w:rsidR="00240934">
              <w:rPr>
                <w:rStyle w:val="FootnoteReference"/>
              </w:rPr>
              <w:footnoteReference w:id="1"/>
            </w:r>
            <w:r>
              <w:t xml:space="preserve">, ar mērķi celt ar eksperta darbību saistīto procesu </w:t>
            </w:r>
            <w:r w:rsidR="00240934">
              <w:t>kvalitāti un prestižu, jo sabiedrība uztic ekspertam novērtēt cita esoša vai topoša zinātnieka darbu. Līdz ar to ekspertam jābūt atbilstoša</w:t>
            </w:r>
            <w:r w:rsidR="00497D90">
              <w:t>i</w:t>
            </w:r>
            <w:r w:rsidR="00240934">
              <w:t xml:space="preserve"> kvalifikācijai, ievērojot Eiropas Savienības un starptautiskās zinātnes attīstības tendences. Papildinot minēto, prasību paaugstināšana ekspertiem ir pamatota, jo ekspertiem ir nozīmīga lomu promociju padomju darbā</w:t>
            </w:r>
            <w:r w:rsidR="00240934">
              <w:rPr>
                <w:rStyle w:val="FootnoteReference"/>
              </w:rPr>
              <w:footnoteReference w:id="2"/>
            </w:r>
            <w:r w:rsidR="00AB7302">
              <w:t>.</w:t>
            </w:r>
            <w:r w:rsidR="00240934">
              <w:t xml:space="preserve"> </w:t>
            </w:r>
          </w:p>
          <w:p w:rsidR="00E76C65" w:rsidRPr="00237C90" w:rsidRDefault="00237C90" w:rsidP="00E76C65">
            <w:pPr>
              <w:jc w:val="both"/>
              <w:rPr>
                <w:bCs/>
              </w:rPr>
            </w:pPr>
            <w:r>
              <w:t xml:space="preserve">  Ministrijas </w:t>
            </w:r>
            <w:r w:rsidRPr="00237C90">
              <w:rPr>
                <w:u w:val="single"/>
              </w:rPr>
              <w:t>konstatētā</w:t>
            </w:r>
            <w:r w:rsidR="008449B9" w:rsidRPr="00237C90">
              <w:rPr>
                <w:u w:val="single"/>
              </w:rPr>
              <w:t xml:space="preserve"> </w:t>
            </w:r>
            <w:r w:rsidRPr="00237C90">
              <w:rPr>
                <w:u w:val="single"/>
              </w:rPr>
              <w:t>p</w:t>
            </w:r>
            <w:r w:rsidR="009B6262" w:rsidRPr="00237C90">
              <w:rPr>
                <w:u w:val="single"/>
              </w:rPr>
              <w:t>roblēma</w:t>
            </w:r>
            <w:r w:rsidR="009B6262" w:rsidRPr="008449B9">
              <w:rPr>
                <w:u w:val="single"/>
              </w:rPr>
              <w:t>:</w:t>
            </w:r>
          </w:p>
          <w:p w:rsidR="00E76C65" w:rsidRPr="009B6262" w:rsidRDefault="009B6262" w:rsidP="00E76C65">
            <w:pPr>
              <w:pStyle w:val="ListParagraph"/>
              <w:numPr>
                <w:ilvl w:val="0"/>
                <w:numId w:val="1"/>
              </w:numPr>
              <w:ind w:left="0" w:firstLine="290"/>
              <w:jc w:val="both"/>
            </w:pPr>
            <w:r w:rsidRPr="009B6262">
              <w:rPr>
                <w:bCs/>
              </w:rPr>
              <w:t xml:space="preserve">ar noteikumu </w:t>
            </w:r>
            <w:r w:rsidR="00E76C65" w:rsidRPr="009B6262">
              <w:rPr>
                <w:bCs/>
              </w:rPr>
              <w:t xml:space="preserve">3.punktu padomei ir pārdeleģēts  </w:t>
            </w:r>
            <w:hyperlink r:id="rId11" w:tgtFrame="_blank" w:history="1">
              <w:r w:rsidR="00E76C65" w:rsidRPr="009B6262">
                <w:rPr>
                  <w:iCs/>
                </w:rPr>
                <w:t>Zinātniskās darbības likuma</w:t>
              </w:r>
            </w:hyperlink>
            <w:r w:rsidR="00E76C65" w:rsidRPr="009B6262">
              <w:rPr>
                <w:iCs/>
              </w:rPr>
              <w:t xml:space="preserve"> </w:t>
            </w:r>
            <w:hyperlink r:id="rId12" w:anchor="p18" w:tgtFrame="_blank" w:history="1">
              <w:r w:rsidR="00E76C65" w:rsidRPr="009B6262">
                <w:rPr>
                  <w:iCs/>
                </w:rPr>
                <w:t>18. panta</w:t>
              </w:r>
            </w:hyperlink>
            <w:r w:rsidR="00E76C65" w:rsidRPr="009B6262">
              <w:rPr>
                <w:iCs/>
              </w:rPr>
              <w:t xml:space="preserve"> piektajā daļā Ministru kabinetam noteiktais deleģējums par </w:t>
            </w:r>
            <w:r w:rsidR="00E76C65" w:rsidRPr="009B6262">
              <w:t>eksperta kvalifikācijas kritēriju noteikšanu;</w:t>
            </w:r>
          </w:p>
          <w:p w:rsidR="00E76C65" w:rsidRPr="009B6262" w:rsidRDefault="00E76C65" w:rsidP="00FF2EB7">
            <w:pPr>
              <w:pStyle w:val="ListParagraph"/>
              <w:numPr>
                <w:ilvl w:val="0"/>
                <w:numId w:val="1"/>
              </w:numPr>
              <w:ind w:left="0" w:firstLine="290"/>
              <w:jc w:val="both"/>
            </w:pPr>
            <w:r w:rsidRPr="009B6262">
              <w:t xml:space="preserve"> </w:t>
            </w:r>
            <w:r w:rsidR="009B6262" w:rsidRPr="009B6262">
              <w:t>noteikumu 2.punktā</w:t>
            </w:r>
            <w:r w:rsidRPr="009B6262">
              <w:t xml:space="preserve"> ir noteikti zinātniskās darbības rezultāti</w:t>
            </w:r>
            <w:r w:rsidR="009B6262" w:rsidRPr="009B6262">
              <w:t>, lai</w:t>
            </w:r>
            <w:r w:rsidRPr="009B6262">
              <w:t xml:space="preserve"> kvalificētos eksperta amatam, savukārt Zinātniskās darbības likuma 18.panta piektā daļa nosaka, ka Ministru kabinets nosaka ekspertu kval</w:t>
            </w:r>
            <w:r w:rsidR="009B6262" w:rsidRPr="009B6262">
              <w:t>ifikācijas kritērij</w:t>
            </w:r>
            <w:r w:rsidR="00497D90">
              <w:t>us</w:t>
            </w:r>
            <w:r w:rsidRPr="009B6262">
              <w:t>;</w:t>
            </w:r>
          </w:p>
          <w:p w:rsidR="00FF2EB7" w:rsidRDefault="009B6262" w:rsidP="00FF2EB7">
            <w:pPr>
              <w:pStyle w:val="ListParagraph"/>
              <w:numPr>
                <w:ilvl w:val="0"/>
                <w:numId w:val="1"/>
              </w:numPr>
              <w:ind w:left="0" w:firstLine="290"/>
              <w:jc w:val="both"/>
            </w:pPr>
            <w:r w:rsidRPr="009B6262">
              <w:t>noteikumu 3.punktā</w:t>
            </w:r>
            <w:r w:rsidR="00E76C65" w:rsidRPr="009B6262">
              <w:t xml:space="preserve"> ir noteikts, ka </w:t>
            </w:r>
            <w:r w:rsidRPr="009B6262">
              <w:t>padome nosaka noteikumu 2.punktā minēto rezultātu kvalitātes kritērijus, ko nepar</w:t>
            </w:r>
            <w:r w:rsidR="00FF2EB7">
              <w:t>edz Zinātniskās darbības likums;</w:t>
            </w:r>
          </w:p>
          <w:p w:rsidR="0092669E" w:rsidRDefault="0092669E" w:rsidP="00FF2EB7">
            <w:pPr>
              <w:pStyle w:val="ListParagraph"/>
              <w:numPr>
                <w:ilvl w:val="0"/>
                <w:numId w:val="1"/>
              </w:numPr>
              <w:ind w:left="0" w:firstLine="290"/>
              <w:jc w:val="both"/>
            </w:pPr>
            <w:r>
              <w:t>pamatojoties uz noteikumu 3.punkt</w:t>
            </w:r>
            <w:r w:rsidR="00497D90">
              <w:t>a</w:t>
            </w:r>
            <w:r>
              <w:t xml:space="preserve">, padome ir izdevusi </w:t>
            </w:r>
            <w:r w:rsidR="00FF2EB7" w:rsidRPr="00B42047">
              <w:rPr>
                <w:color w:val="000000"/>
              </w:rPr>
              <w:t>Padomes Eksperta tiesību piešķiršanas kārtīb</w:t>
            </w:r>
            <w:r w:rsidR="00FF2EB7">
              <w:rPr>
                <w:color w:val="000000"/>
              </w:rPr>
              <w:t>u</w:t>
            </w:r>
            <w:r w:rsidR="00FF2EB7" w:rsidRPr="00B42047">
              <w:rPr>
                <w:color w:val="000000"/>
              </w:rPr>
              <w:t xml:space="preserve"> (apstiprināta ar Padomes 2018. gada 15. janvāra </w:t>
            </w:r>
            <w:r w:rsidR="00FF2EB7" w:rsidRPr="00B42047">
              <w:rPr>
                <w:color w:val="000000"/>
              </w:rPr>
              <w:lastRenderedPageBreak/>
              <w:t>rakstiskās procedūras lēmumu Nr. 19-1-1)</w:t>
            </w:r>
            <w:r w:rsidR="001E3D25">
              <w:rPr>
                <w:rStyle w:val="FootnoteReference"/>
              </w:rPr>
              <w:footnoteReference w:id="3"/>
            </w:r>
            <w:r w:rsidR="00FF2EB7">
              <w:rPr>
                <w:color w:val="000000"/>
              </w:rPr>
              <w:t xml:space="preserve"> (turpmāk – padomes kārtība)</w:t>
            </w:r>
            <w:r>
              <w:t xml:space="preserve">, kurā ir ietverti </w:t>
            </w:r>
            <w:r w:rsidR="00FF2EB7">
              <w:t>(detalizēti) papildu</w:t>
            </w:r>
            <w:r w:rsidR="001E3D25">
              <w:t xml:space="preserve"> </w:t>
            </w:r>
            <w:r>
              <w:t xml:space="preserve">kritēriji, kas </w:t>
            </w:r>
            <w:r w:rsidR="001E3D25">
              <w:t xml:space="preserve">modificē un papildina </w:t>
            </w:r>
            <w:r>
              <w:t>noteikumu 2.pu</w:t>
            </w:r>
            <w:r w:rsidR="001E3D25">
              <w:t>nktā</w:t>
            </w:r>
            <w:r>
              <w:t xml:space="preserve"> noteikto</w:t>
            </w:r>
            <w:r w:rsidR="001E3D25">
              <w:t>s</w:t>
            </w:r>
            <w:r>
              <w:t xml:space="preserve"> rezultātu</w:t>
            </w:r>
            <w:r w:rsidR="001E3D25">
              <w:t>s</w:t>
            </w:r>
            <w:r>
              <w:t>.</w:t>
            </w:r>
          </w:p>
          <w:p w:rsidR="0092669E" w:rsidRDefault="0092669E" w:rsidP="0092669E">
            <w:pPr>
              <w:pStyle w:val="ListParagraph"/>
              <w:ind w:left="-29" w:firstLine="389"/>
              <w:jc w:val="both"/>
            </w:pPr>
            <w:r>
              <w:t>Ievērojot minēto</w:t>
            </w:r>
            <w:r w:rsidR="00497D90">
              <w:t>,</w:t>
            </w:r>
            <w:r>
              <w:t xml:space="preserve"> noteikumu 3.punkts ir pieņemts </w:t>
            </w:r>
            <w:proofErr w:type="spellStart"/>
            <w:r w:rsidRPr="0092669E">
              <w:rPr>
                <w:i/>
              </w:rPr>
              <w:t>ultra</w:t>
            </w:r>
            <w:proofErr w:type="spellEnd"/>
            <w:r w:rsidRPr="0092669E">
              <w:rPr>
                <w:i/>
              </w:rPr>
              <w:t xml:space="preserve"> </w:t>
            </w:r>
            <w:proofErr w:type="spellStart"/>
            <w:r w:rsidRPr="0092669E">
              <w:rPr>
                <w:i/>
              </w:rPr>
              <w:t>vires</w:t>
            </w:r>
            <w:proofErr w:type="spellEnd"/>
            <w:r>
              <w:t xml:space="preserve"> (pārsniedzot pilnvaras) un </w:t>
            </w:r>
            <w:r w:rsidR="00776277">
              <w:t xml:space="preserve">neatbilstoši </w:t>
            </w:r>
            <w:r>
              <w:t xml:space="preserve">Satversmes 64.pantam, </w:t>
            </w:r>
            <w:r w:rsidR="00776277">
              <w:t xml:space="preserve">kas nosaka, </w:t>
            </w:r>
            <w:r>
              <w:t>ka Latvijā ir divi likumdevēji: tauta un Saeima. Saskaņā ar Satversmes 64.pantu likumdevējam ir jāizlemj svarīgākie jautājumi. Vienlaikus tas var deleģēt citai institūcijai, visbiežāk Ministru kabinetam noteikt ar likum</w:t>
            </w:r>
            <w:r w:rsidR="00776277">
              <w:t>a</w:t>
            </w:r>
            <w:r>
              <w:t xml:space="preserve"> īstenošanu saistītus detalizētākus noteikumus. Deleģējumu saņēmusī institūcija nav tiesīga neregulēt attiecīgo jautājumu un patvaļīgi deleģēt savas tiesības tālāk.</w:t>
            </w:r>
            <w:r w:rsidR="000E34AF">
              <w:t xml:space="preserve"> </w:t>
            </w:r>
          </w:p>
          <w:p w:rsidR="000E34AF" w:rsidRDefault="000E34AF" w:rsidP="0092669E">
            <w:pPr>
              <w:pStyle w:val="ListParagraph"/>
              <w:ind w:left="-29" w:firstLine="389"/>
              <w:jc w:val="both"/>
            </w:pPr>
            <w:r>
              <w:t xml:space="preserve">Ar Zinātniskās darbības likuma 18.panta </w:t>
            </w:r>
            <w:r w:rsidR="001E3D25">
              <w:t>piektās</w:t>
            </w:r>
            <w:r>
              <w:t xml:space="preserve"> daļas pirmo teikumu </w:t>
            </w:r>
            <w:r w:rsidR="001E3D25">
              <w:t>Ministru</w:t>
            </w:r>
            <w:r>
              <w:t xml:space="preserve"> </w:t>
            </w:r>
            <w:r w:rsidR="001E3D25">
              <w:t>kabinets</w:t>
            </w:r>
            <w:r>
              <w:t xml:space="preserve"> ir</w:t>
            </w:r>
            <w:r w:rsidR="001E3D25">
              <w:t xml:space="preserve"> </w:t>
            </w:r>
            <w:r>
              <w:t xml:space="preserve">pilnvarots noteikt ekspertu </w:t>
            </w:r>
            <w:r w:rsidR="001E3D25">
              <w:t>kvalifikācijas</w:t>
            </w:r>
            <w:r>
              <w:t xml:space="preserve"> </w:t>
            </w:r>
            <w:r w:rsidR="001E3D25">
              <w:t>kritērijus</w:t>
            </w:r>
            <w:r>
              <w:t xml:space="preserve">, savukārt padomei </w:t>
            </w:r>
            <w:r w:rsidR="001E3D25">
              <w:t>jāpieņem</w:t>
            </w:r>
            <w:r>
              <w:t xml:space="preserve"> individuāli lēmumi </w:t>
            </w:r>
            <w:r w:rsidR="001E3D25">
              <w:t>atbilstoši</w:t>
            </w:r>
            <w:r>
              <w:t xml:space="preserve"> </w:t>
            </w:r>
            <w:r w:rsidR="001E3D25">
              <w:t>Ministru</w:t>
            </w:r>
            <w:r>
              <w:t xml:space="preserve"> </w:t>
            </w:r>
            <w:r w:rsidR="001E3D25">
              <w:t>kabineta</w:t>
            </w:r>
            <w:r>
              <w:t xml:space="preserve"> </w:t>
            </w:r>
            <w:r w:rsidR="001E3D25">
              <w:t>noteiktajiem</w:t>
            </w:r>
            <w:r>
              <w:t xml:space="preserve"> </w:t>
            </w:r>
            <w:r w:rsidR="001E3D25">
              <w:t>kritērijiem</w:t>
            </w:r>
            <w:r>
              <w:t xml:space="preserve">. Ministru </w:t>
            </w:r>
            <w:r w:rsidR="001E3D25">
              <w:t>kabinets</w:t>
            </w:r>
            <w:r>
              <w:t xml:space="preserve"> nav tiesīgs </w:t>
            </w:r>
            <w:r w:rsidR="001E3D25">
              <w:t>pārdeleģēt</w:t>
            </w:r>
            <w:r>
              <w:t xml:space="preserve"> ekspertu </w:t>
            </w:r>
            <w:r w:rsidR="00776277">
              <w:t xml:space="preserve">kvalifikācijas </w:t>
            </w:r>
            <w:r w:rsidR="001E3D25">
              <w:t>kritēriju noteikšanu.</w:t>
            </w:r>
            <w:r>
              <w:t xml:space="preserve"> </w:t>
            </w:r>
          </w:p>
          <w:p w:rsidR="00C55B51" w:rsidRDefault="00C55B51" w:rsidP="0092669E">
            <w:pPr>
              <w:pStyle w:val="ListParagraph"/>
              <w:ind w:left="-29" w:firstLine="389"/>
              <w:jc w:val="both"/>
            </w:pPr>
            <w:r w:rsidRPr="008449B9">
              <w:rPr>
                <w:u w:val="single"/>
              </w:rPr>
              <w:t>Projekta mērķis</w:t>
            </w:r>
            <w:r>
              <w:t xml:space="preserve"> ir noteikt kvalifikācijas kritērijus zinātniekam, ja tas vēlas kvalificēties eksperta </w:t>
            </w:r>
            <w:r w:rsidR="00776277">
              <w:t xml:space="preserve">tiesībām </w:t>
            </w:r>
            <w:r w:rsidR="003D30A4">
              <w:t>un eksperta komisijas locekļa amatam</w:t>
            </w:r>
            <w:r>
              <w:t>.</w:t>
            </w:r>
          </w:p>
          <w:p w:rsidR="00050E2A" w:rsidRDefault="00050E2A" w:rsidP="0092669E">
            <w:pPr>
              <w:pStyle w:val="ListParagraph"/>
              <w:ind w:left="-29" w:firstLine="389"/>
              <w:jc w:val="both"/>
              <w:rPr>
                <w:rFonts w:ascii="Arial" w:hAnsi="Arial" w:cs="Arial"/>
              </w:rPr>
            </w:pPr>
            <w:r w:rsidRPr="00050E2A">
              <w:t>Projekts neparedz ieviest jaunus pakalpojumus vai jaunas informācijas un komunikācijas tehnoloģiju sistēmas vai pilnveidot esošās</w:t>
            </w:r>
            <w:r>
              <w:rPr>
                <w:rFonts w:ascii="Arial" w:hAnsi="Arial" w:cs="Arial"/>
              </w:rPr>
              <w:t>.</w:t>
            </w:r>
          </w:p>
          <w:p w:rsidR="00FF2EB7" w:rsidRDefault="00AB7302" w:rsidP="0092669E">
            <w:pPr>
              <w:pStyle w:val="ListParagraph"/>
              <w:ind w:left="-29" w:firstLine="389"/>
              <w:jc w:val="both"/>
              <w:rPr>
                <w:rFonts w:ascii="Arial" w:hAnsi="Arial" w:cs="Arial"/>
              </w:rPr>
            </w:pPr>
            <w:r>
              <w:t>Projektā minētie zinātniskās darbības rezultāti, eksperta kvalifikācijas kritēriji, tiesības uz eksperta amatu vairākās zinātnes nozarēs ir jau pašlaik zinātnes aprindās noregulēts  ar padomes kārtību. Šo kārtību ir apstiprinājusi padome, kuras sastāvā ir pārstāvētas visas ar zinātni saistītās  un institūcijas un organizācijas – Latvijas Zinātņu akadēmija, Valsts zinātnisko institūtu apvienība, Latvijas Zinātnieku savienība, Latvijas Jauno zinātnieku savienība, padomes ekspertu komisijas, Rektoru padome, Latvijas Darba devēju konfederācija un  attiecīgas nozaru ministrijas.</w:t>
            </w:r>
          </w:p>
          <w:p w:rsidR="00A74B64" w:rsidRDefault="006E31E0" w:rsidP="0092669E">
            <w:pPr>
              <w:pStyle w:val="ListParagraph"/>
              <w:ind w:left="-29" w:firstLine="389"/>
              <w:jc w:val="both"/>
            </w:pPr>
            <w:r w:rsidRPr="008449B9">
              <w:rPr>
                <w:u w:val="single"/>
              </w:rPr>
              <w:t>Projekta būtība</w:t>
            </w:r>
            <w:r w:rsidRPr="006E31E0">
              <w:t>:</w:t>
            </w:r>
          </w:p>
          <w:p w:rsidR="006E31E0" w:rsidRDefault="00F67013" w:rsidP="00F67013">
            <w:pPr>
              <w:pStyle w:val="ListParagraph"/>
              <w:numPr>
                <w:ilvl w:val="0"/>
                <w:numId w:val="2"/>
              </w:numPr>
              <w:ind w:left="0" w:firstLine="360"/>
              <w:jc w:val="both"/>
            </w:pPr>
            <w:r>
              <w:t>ievērojot Zinātniskās darbības likuma 18.panta piektajā daļā Ministru kabinetam noteikto deleģējumu noteikt eksperta kvalifikācijas kritērijus, ar projekta 3.punktu paredz grozīt noteikumu 3.punktu, nosakot, ka padome veic ekspertu atlasi ievērojot noteikumus, tas ir, padomei vairs nav kompetence noteikt kritērijus attiecīgajā zinātnes nozarē, jo tas ir jānosaka Ministru kabinetam. Padomē nodrošinās noteikumu īstenošanu saskaņā ar savu kārtību, kuru pirms apstiprināšanas saskaņos ar ministriju;</w:t>
            </w:r>
          </w:p>
          <w:p w:rsidR="00050E2A" w:rsidRDefault="00674D0E" w:rsidP="00674D0E">
            <w:pPr>
              <w:pStyle w:val="ListParagraph"/>
              <w:numPr>
                <w:ilvl w:val="0"/>
                <w:numId w:val="2"/>
              </w:numPr>
              <w:ind w:left="0" w:firstLine="360"/>
              <w:jc w:val="both"/>
            </w:pPr>
            <w:r>
              <w:lastRenderedPageBreak/>
              <w:t xml:space="preserve">lai virzītos uz spēcīgu, pasaules līmenī konkurētspējīgu zinātni, </w:t>
            </w:r>
            <w:r w:rsidR="00F67013">
              <w:t>ar projekta 1.punktu grozīs noteikumu 2.punktu, nosakot, ka eksperta tiesības piešķiramas uz 3 gadiem, ievērojot noteiktos zinātniskās darbības rezultātus (publikācijas un monogrāfijas), kurus piemēro jau šobrīd, pamatojoties uz padomes kārtību</w:t>
            </w:r>
            <w:r w:rsidR="00C2587C">
              <w:t>, līdz ar to nemainot darbības pēc būtības</w:t>
            </w:r>
            <w:r>
              <w:t>.</w:t>
            </w:r>
            <w:r w:rsidR="00F67013">
              <w:t xml:space="preserve"> </w:t>
            </w:r>
            <w:r>
              <w:t>Lai izvērtētu zinātnieka atbilstību eksperta amatam, par pamatu izmanto zinātniskās darbības rezultātus – publikācijas zinātnieku atzītos un respektētos  zinātniskajos izdevumos. Projektā noteikt</w:t>
            </w:r>
            <w:r w:rsidR="00AB7302">
              <w:t>ā</w:t>
            </w:r>
            <w:r>
              <w:t>s datu bāzes ir pasaulē vispārpieņemta prakse zinātnisko publikāciju nozīmīguma līmeņa izvērtēšanai. Projektā minētās  datu bāzēs iekļautie zinātniskie izdevumi tiek atzīti par augstas kvalitātes zinātnisko materiālu avotiem. Ņemot vērā sociālo</w:t>
            </w:r>
            <w:r w:rsidR="00AB7302">
              <w:t>, humanitāro un mākslas zinātnes nozaru</w:t>
            </w:r>
            <w:r>
              <w:t xml:space="preserve"> specifiku, netiek noteikta prasība publicēties tikai zinātniskajos izdevumos, ka</w:t>
            </w:r>
            <w:r w:rsidR="00C2587C">
              <w:t>m</w:t>
            </w:r>
            <w:r>
              <w:t xml:space="preserve"> ir aprēķināti ietekmes faktori. Sociālo, humanitāro un mākslas nozaru zinātniekiem būs iespēja savus zinātnisko rezultātus uzrādīt gan publikāciju</w:t>
            </w:r>
            <w:r w:rsidR="00AB32BB">
              <w:t>, gan monogrāfiju veidā;</w:t>
            </w:r>
          </w:p>
          <w:p w:rsidR="00674D0E" w:rsidRDefault="00AB32BB" w:rsidP="00674D0E">
            <w:pPr>
              <w:pStyle w:val="ListParagraph"/>
              <w:numPr>
                <w:ilvl w:val="0"/>
                <w:numId w:val="2"/>
              </w:numPr>
              <w:ind w:left="0" w:firstLine="360"/>
              <w:jc w:val="both"/>
            </w:pPr>
            <w:r>
              <w:t>ievērojot projekt</w:t>
            </w:r>
            <w:r w:rsidR="00AB7302">
              <w:t>a</w:t>
            </w:r>
            <w:r w:rsidR="002B0823">
              <w:t xml:space="preserve"> 1</w:t>
            </w:r>
            <w:r>
              <w:t>.punktā noteiktos zinātniskās darbības rezultātus, ar projekta</w:t>
            </w:r>
            <w:r w:rsidR="002B0823">
              <w:t xml:space="preserve"> 2.punktu noteikumi tiek papildināti ar</w:t>
            </w:r>
            <w:r>
              <w:t xml:space="preserve"> 2.² punktu</w:t>
            </w:r>
            <w:r w:rsidR="002B0823">
              <w:t xml:space="preserve">, kurā ir </w:t>
            </w:r>
            <w:r>
              <w:t>atrunāti eksperta kvalifikācijas kritēriji katrā zinātnes nozarē</w:t>
            </w:r>
            <w:r w:rsidR="00CB5E7E">
              <w:rPr>
                <w:rStyle w:val="FootnoteReference"/>
              </w:rPr>
              <w:footnoteReference w:id="4"/>
            </w:r>
            <w:r>
              <w:t>;</w:t>
            </w:r>
          </w:p>
          <w:p w:rsidR="00AB32BB" w:rsidRDefault="00AB32BB" w:rsidP="00674D0E">
            <w:pPr>
              <w:pStyle w:val="ListParagraph"/>
              <w:numPr>
                <w:ilvl w:val="0"/>
                <w:numId w:val="2"/>
              </w:numPr>
              <w:ind w:left="0" w:firstLine="360"/>
              <w:jc w:val="both"/>
            </w:pPr>
            <w:r>
              <w:t>ar projekta 2.punktu ir paredzēts, ka zinātnieks var iegūt eksperta tiesības vairākas zinātnes nozarēs, ja</w:t>
            </w:r>
            <w:r w:rsidR="00DB1149">
              <w:t xml:space="preserve"> izpilda </w:t>
            </w:r>
            <w:r w:rsidR="00C2587C">
              <w:t xml:space="preserve">eksperta </w:t>
            </w:r>
            <w:r w:rsidR="00DB1149">
              <w:t>kvalifikācijas kritērijus katrā zinātnes nozarē, uz kura</w:t>
            </w:r>
            <w:r w:rsidR="00C2587C">
              <w:t>s</w:t>
            </w:r>
            <w:r w:rsidR="00DB1149">
              <w:t xml:space="preserve"> eksperta amatu </w:t>
            </w:r>
            <w:r w:rsidR="00CB5E7E">
              <w:t xml:space="preserve">tas </w:t>
            </w:r>
            <w:r w:rsidR="00DB1149">
              <w:t>pretendē;</w:t>
            </w:r>
          </w:p>
          <w:p w:rsidR="00DB1149" w:rsidRDefault="00DB1149" w:rsidP="00674D0E">
            <w:pPr>
              <w:pStyle w:val="ListParagraph"/>
              <w:numPr>
                <w:ilvl w:val="0"/>
                <w:numId w:val="2"/>
              </w:numPr>
              <w:ind w:left="0" w:firstLine="360"/>
              <w:jc w:val="both"/>
            </w:pPr>
            <w:r>
              <w:t>projekta 3.punkts precizē noteikumu 4.punktu, nosakot papildu kritērijus</w:t>
            </w:r>
            <w:r w:rsidR="00CB5E7E">
              <w:t>, pēc kuru izpildes</w:t>
            </w:r>
            <w:r>
              <w:t xml:space="preserve"> eksperts var pretendēt uz padomes ekspertu komisijas locekļa amatu;</w:t>
            </w:r>
          </w:p>
          <w:p w:rsidR="00DB1149" w:rsidRDefault="00DB1149" w:rsidP="00674D0E">
            <w:pPr>
              <w:pStyle w:val="ListParagraph"/>
              <w:numPr>
                <w:ilvl w:val="0"/>
                <w:numId w:val="2"/>
              </w:numPr>
              <w:ind w:left="0" w:firstLine="360"/>
              <w:jc w:val="both"/>
            </w:pPr>
            <w:r>
              <w:t>ar projekta 4.punktu tiks precizētas noteikumu 6.punkta ievaddaļā un 6.5.apakšpunktā atsauces uz noteikumu punktiem;</w:t>
            </w:r>
          </w:p>
          <w:p w:rsidR="00DB1149" w:rsidRDefault="002B0823" w:rsidP="00DB1149">
            <w:pPr>
              <w:pStyle w:val="ListParagraph"/>
              <w:numPr>
                <w:ilvl w:val="0"/>
                <w:numId w:val="2"/>
              </w:numPr>
              <w:ind w:left="0" w:firstLine="360"/>
              <w:jc w:val="both"/>
            </w:pPr>
            <w:r>
              <w:t>ar projekta 6</w:t>
            </w:r>
            <w:r w:rsidR="00DB1149">
              <w:t>.punktu paredzēts precizēt noteikumu  16.punktu, izsakot to jaunā redakcijā, jo jānosaka kā eksperti var iegūt padomes ekspertu komisijas locekļa amatu, ja uz vietu</w:t>
            </w:r>
            <w:r>
              <w:t xml:space="preserve"> ir vairāk kā viens pretendents;</w:t>
            </w:r>
          </w:p>
          <w:p w:rsidR="002B0823" w:rsidRDefault="002B0823" w:rsidP="00DB1149">
            <w:pPr>
              <w:pStyle w:val="ListParagraph"/>
              <w:numPr>
                <w:ilvl w:val="0"/>
                <w:numId w:val="2"/>
              </w:numPr>
              <w:ind w:left="0" w:firstLine="360"/>
              <w:jc w:val="both"/>
            </w:pPr>
            <w:r>
              <w:t>ar projekta 3.punktu tiek precizēts noteikumu 3.punkts, nosakot, ka padome veic ekspertu atlasi, ievērojot noteikumus un atbilstoši padomes kārtībai, kas pirms apstiprināšanas ir saskaņojama ar ministriju;</w:t>
            </w:r>
          </w:p>
          <w:p w:rsidR="002B0823" w:rsidRDefault="002B0823" w:rsidP="00DB1149">
            <w:pPr>
              <w:pStyle w:val="ListParagraph"/>
              <w:numPr>
                <w:ilvl w:val="0"/>
                <w:numId w:val="2"/>
              </w:numPr>
              <w:ind w:left="0" w:firstLine="360"/>
              <w:jc w:val="both"/>
            </w:pPr>
            <w:r>
              <w:t xml:space="preserve">ar projekta 5.punktu paredzēts precizēt noteikumu 9.punktu, nosakot, ka nevis vismaz 2 mēnešus, bet gan tikai vismaz vienu mēnesi pirms ekspertu komisiju vēlēšanām vēlēšanu </w:t>
            </w:r>
            <w:r w:rsidR="002F55DB">
              <w:t>komisija</w:t>
            </w:r>
            <w:r>
              <w:t xml:space="preserve"> izsludina </w:t>
            </w:r>
            <w:r w:rsidR="002F55DB">
              <w:t xml:space="preserve">attiecīgu paziņojumu oficiālajā izdevumā “atvijas Vēstnesis”. </w:t>
            </w:r>
            <w:r w:rsidR="002F55DB">
              <w:lastRenderedPageBreak/>
              <w:t>Formulējumā “vismaz viens mēnesis” var ietverot arī “divus mēnešus”, ja padome uzskatīs to par nepieciešamu;</w:t>
            </w:r>
          </w:p>
          <w:p w:rsidR="002F55DB" w:rsidRPr="004A29AC" w:rsidRDefault="002F55DB" w:rsidP="00DB1149">
            <w:pPr>
              <w:pStyle w:val="ListParagraph"/>
              <w:numPr>
                <w:ilvl w:val="0"/>
                <w:numId w:val="2"/>
              </w:numPr>
              <w:ind w:left="0" w:firstLine="360"/>
              <w:jc w:val="both"/>
            </w:pPr>
            <w:r w:rsidRPr="004A29AC">
              <w:t xml:space="preserve">ar projekta 7.punktu paredz precizēt noteikumu 31.punktu, nosakot, ka </w:t>
            </w:r>
            <w:r w:rsidRPr="004A29AC">
              <w:t>ekspertu komisijas, kas izveidotas saskaņā ar Ministru kabineta 2006. gada 20. jūnija noteikumiem Nr. 497 "</w:t>
            </w:r>
            <w:hyperlink r:id="rId13" w:tgtFrame="_blank" w:history="1">
              <w:r w:rsidRPr="004A29AC">
                <w:t>Noteikumi par Latvijas Zinātnes padomes ekspertu komisiju izveidošanu un darbību</w:t>
              </w:r>
            </w:hyperlink>
            <w:r w:rsidRPr="004A29AC">
              <w:t xml:space="preserve">", turpina savu darbību līdz </w:t>
            </w:r>
            <w:r w:rsidRPr="004A29AC">
              <w:t>vē</w:t>
            </w:r>
            <w:r w:rsidRPr="004A29AC">
              <w:t xml:space="preserve">lēšanu komisija ir </w:t>
            </w:r>
            <w:r w:rsidRPr="004A29AC">
              <w:t>pieņēmusi</w:t>
            </w:r>
            <w:r w:rsidRPr="004A29AC">
              <w:t xml:space="preserve"> noteikumu 19.punktā minēto lēmumu par ekspertu komisiju vēlēšanu rezultātu apstiprināšanu</w:t>
            </w:r>
            <w:r w:rsidRPr="004A29AC">
              <w:t>. Minētais ir pamatots ar nepieciešamību ministrijai un padomei sagatavoties padomes sastāva izmaiņām, jo saskaņā ar Zinātniskās darbības likuma 14.pantu padomes locekļu pilnvaras laiks ir 3 gadi. Esošās padomes locekļu pilnvaras laiks beidzas 2019.gada 15.augustā</w:t>
            </w:r>
            <w:r w:rsidRPr="004A29AC">
              <w:rPr>
                <w:rStyle w:val="FootnoteReference"/>
              </w:rPr>
              <w:footnoteReference w:id="5"/>
            </w:r>
            <w:r w:rsidRPr="004A29AC">
              <w:t xml:space="preserve">. </w:t>
            </w:r>
            <w:r w:rsidR="004A29AC" w:rsidRPr="004A29AC">
              <w:t xml:space="preserve">Jaunās padomes sastāvā ir iekļaujami arī 5 ekspertu komisiju pārstāvji (Zinātniskās darbības likuma 15.panta pirmās daļas 4.punkts). </w:t>
            </w:r>
            <w:r w:rsidR="004A29AC">
              <w:t>Ievērojot minēto, lai nebūtu jāveic grozījumi padomes sastāvā pirms jaunās padomes apstiprināšanas dēļ tā, ka noteikumu 31.punktā ir noteikts, ka esošās ekspertu komisiju pilnvaru laiks ir līdz 2019.gada 2.jūnijam (divus mēnešus pirms esošās padomes locekļu pilnvaras beigām), tad ar projektu tiek precizēts, ka esošās ekspertu komisijas ir darboties tiesīgas līdz jauno ekspertu komisiju apstiprināšanas, savukārt, padome plāno velēšanās, ievērojot padomes pilnvaras laiku un to, ka padomes sastāvā jāiekļauj ievēlēto ekspertu komisiju pārstāvji. Attiecīgi ministrija veic attiecīgas darbības noteiktā kārtībā, lai nodrošinātu  jaunās padomes sastāva apstiprināšanu Ministru kabinetā.</w:t>
            </w:r>
            <w:bookmarkStart w:id="0" w:name="_GoBack"/>
            <w:bookmarkEnd w:id="0"/>
          </w:p>
          <w:p w:rsidR="00A84ED6" w:rsidRPr="00A84ED6" w:rsidRDefault="00A84ED6" w:rsidP="00A84ED6">
            <w:pPr>
              <w:jc w:val="both"/>
              <w:rPr>
                <w:sz w:val="22"/>
                <w:szCs w:val="22"/>
              </w:rPr>
            </w:pPr>
            <w:r>
              <w:rPr>
                <w:color w:val="1F497D"/>
              </w:rPr>
              <w:t xml:space="preserve">     </w:t>
            </w:r>
            <w:r w:rsidRPr="00A84ED6">
              <w:t>Projekts vairs neparedz nepieciešamību zinātniskajam darbības rezultātam, kas ir zinātniskā publikācija,  pieejamību atvērtajā piekļuvē  (</w:t>
            </w:r>
            <w:proofErr w:type="spellStart"/>
            <w:r w:rsidRPr="00A84ED6">
              <w:rPr>
                <w:i/>
              </w:rPr>
              <w:t>Open</w:t>
            </w:r>
            <w:proofErr w:type="spellEnd"/>
            <w:r w:rsidRPr="00A84ED6">
              <w:rPr>
                <w:i/>
              </w:rPr>
              <w:t xml:space="preserve"> Access</w:t>
            </w:r>
            <w:r w:rsidRPr="00A84ED6">
              <w:t xml:space="preserve">), jo tas ir zinātnisko rezultātu izplatīšanas veids, kas ļauj sasniegt plašāku zinātnisko sabiedrību, bet pats par sevi neapliecina ne pašas zinātniskās publikācijas, ne zinātniskā izdevuma, kurā tas publicēts, zinātnisko kvalitāti vai redakcijas kontroli, ko tā veic, atlasot zinātniskās publikācijas izdevumam. Vispāratzīts ir viedoklis, ka izdevumu zinātnisko kvalitāti (tai skaitā redakcijas kontroli par publicēšanai izvēlētajiem manuskriptiem) apliecina izdevumu iekļaušana noteiktās datu bāzēs, tai skaitā </w:t>
            </w:r>
            <w:proofErr w:type="spellStart"/>
            <w:r w:rsidRPr="00A84ED6">
              <w:rPr>
                <w:i/>
              </w:rPr>
              <w:t>Scopus</w:t>
            </w:r>
            <w:proofErr w:type="spellEnd"/>
            <w:r w:rsidRPr="00A84ED6">
              <w:rPr>
                <w:i/>
              </w:rPr>
              <w:t xml:space="preserve">, </w:t>
            </w:r>
            <w:proofErr w:type="spellStart"/>
            <w:r w:rsidRPr="00A84ED6">
              <w:rPr>
                <w:i/>
              </w:rPr>
              <w:t>Web</w:t>
            </w:r>
            <w:proofErr w:type="spellEnd"/>
            <w:r w:rsidRPr="00A84ED6">
              <w:rPr>
                <w:i/>
              </w:rPr>
              <w:t xml:space="preserve"> </w:t>
            </w:r>
            <w:proofErr w:type="spellStart"/>
            <w:r w:rsidRPr="00A84ED6">
              <w:rPr>
                <w:i/>
              </w:rPr>
              <w:t>of</w:t>
            </w:r>
            <w:proofErr w:type="spellEnd"/>
            <w:r w:rsidRPr="00A84ED6">
              <w:rPr>
                <w:i/>
              </w:rPr>
              <w:t xml:space="preserve"> </w:t>
            </w:r>
            <w:proofErr w:type="spellStart"/>
            <w:r w:rsidRPr="00A84ED6">
              <w:rPr>
                <w:i/>
              </w:rPr>
              <w:t>Science</w:t>
            </w:r>
            <w:proofErr w:type="spellEnd"/>
            <w:r w:rsidRPr="00A84ED6">
              <w:t xml:space="preserve"> un </w:t>
            </w:r>
            <w:r w:rsidRPr="00A84ED6">
              <w:rPr>
                <w:i/>
              </w:rPr>
              <w:t>ERIH+</w:t>
            </w:r>
            <w:r w:rsidRPr="00A84ED6">
              <w:t xml:space="preserve">. Šādi atlases kritēriji balstās uz izdevumu savstarpējo citēšanu un/vai noteiktu kritēriju izpildi. Līdz ar to publicēšanās </w:t>
            </w:r>
            <w:proofErr w:type="spellStart"/>
            <w:r w:rsidRPr="00A84ED6">
              <w:rPr>
                <w:i/>
              </w:rPr>
              <w:t>Open</w:t>
            </w:r>
            <w:proofErr w:type="spellEnd"/>
            <w:r w:rsidRPr="00A84ED6">
              <w:rPr>
                <w:i/>
              </w:rPr>
              <w:t xml:space="preserve"> </w:t>
            </w:r>
            <w:proofErr w:type="spellStart"/>
            <w:r w:rsidRPr="00A84ED6">
              <w:rPr>
                <w:i/>
              </w:rPr>
              <w:t>Aceess</w:t>
            </w:r>
            <w:proofErr w:type="spellEnd"/>
            <w:r w:rsidRPr="00A84ED6">
              <w:t xml:space="preserve"> izdevumā pati par sevi nav kritērijs, ko piemērot eksperta tiesību piešķiršanai.</w:t>
            </w:r>
          </w:p>
          <w:p w:rsidR="00DB1149" w:rsidRPr="006063E2" w:rsidRDefault="00DB1149" w:rsidP="00724F51">
            <w:pPr>
              <w:pStyle w:val="ListParagraph"/>
              <w:ind w:left="-30" w:firstLine="390"/>
              <w:jc w:val="both"/>
            </w:pPr>
          </w:p>
        </w:tc>
      </w:tr>
      <w:tr w:rsidR="00BD5588" w:rsidRPr="006063E2" w:rsidTr="00951BB9">
        <w:tc>
          <w:tcPr>
            <w:tcW w:w="304" w:type="pct"/>
            <w:hideMark/>
          </w:tcPr>
          <w:p w:rsidR="00BD5588" w:rsidRPr="006063E2" w:rsidRDefault="00BD5588" w:rsidP="009E0502">
            <w:pPr>
              <w:jc w:val="center"/>
            </w:pPr>
            <w:r w:rsidRPr="006063E2">
              <w:lastRenderedPageBreak/>
              <w:t>3.</w:t>
            </w:r>
          </w:p>
        </w:tc>
        <w:tc>
          <w:tcPr>
            <w:tcW w:w="1444" w:type="pct"/>
            <w:hideMark/>
          </w:tcPr>
          <w:p w:rsidR="00BD5588" w:rsidRPr="006063E2" w:rsidRDefault="00BD5588" w:rsidP="009E0502">
            <w:r w:rsidRPr="006063E2">
              <w:t>Projekta izstrādē iesaistītās institūcijas un publiskas personas kapitālsabiedrības</w:t>
            </w:r>
          </w:p>
        </w:tc>
        <w:tc>
          <w:tcPr>
            <w:tcW w:w="3252" w:type="pct"/>
            <w:hideMark/>
          </w:tcPr>
          <w:p w:rsidR="00BD5588" w:rsidRPr="006063E2" w:rsidRDefault="003D30A4" w:rsidP="009E0502">
            <w:r>
              <w:t>Ministrija un Latvijas Zinātnes padome.</w:t>
            </w:r>
          </w:p>
        </w:tc>
      </w:tr>
      <w:tr w:rsidR="00BD5588" w:rsidRPr="006063E2" w:rsidTr="00951BB9">
        <w:tc>
          <w:tcPr>
            <w:tcW w:w="304" w:type="pct"/>
            <w:hideMark/>
          </w:tcPr>
          <w:p w:rsidR="00BD5588" w:rsidRPr="006063E2" w:rsidRDefault="00BD5588" w:rsidP="009E0502">
            <w:pPr>
              <w:jc w:val="center"/>
            </w:pPr>
            <w:r w:rsidRPr="006063E2">
              <w:t>4.</w:t>
            </w:r>
          </w:p>
        </w:tc>
        <w:tc>
          <w:tcPr>
            <w:tcW w:w="1444" w:type="pct"/>
            <w:hideMark/>
          </w:tcPr>
          <w:p w:rsidR="00BD5588" w:rsidRPr="006063E2" w:rsidRDefault="00BD5588" w:rsidP="009E0502">
            <w:r w:rsidRPr="006063E2">
              <w:t>Cita informācija</w:t>
            </w:r>
          </w:p>
        </w:tc>
        <w:tc>
          <w:tcPr>
            <w:tcW w:w="3252" w:type="pct"/>
            <w:hideMark/>
          </w:tcPr>
          <w:p w:rsidR="00237C90" w:rsidRPr="00237C90" w:rsidRDefault="00237C90" w:rsidP="00A84ED6">
            <w:bookmarkStart w:id="1" w:name="_MailEndCompose"/>
            <w:r w:rsidRPr="00237C90">
              <w:t>Nav</w:t>
            </w:r>
          </w:p>
          <w:bookmarkEnd w:id="1"/>
          <w:p w:rsidR="00BD5588" w:rsidRPr="006063E2" w:rsidRDefault="00BD5588" w:rsidP="00237C90"/>
        </w:tc>
      </w:tr>
    </w:tbl>
    <w:p w:rsidR="00BD5588" w:rsidRPr="006063E2" w:rsidRDefault="00BD5588" w:rsidP="00BD5588">
      <w:pPr>
        <w:pStyle w:val="Title"/>
        <w:spacing w:before="130" w:line="260" w:lineRule="exact"/>
        <w:ind w:firstLine="539"/>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455"/>
        <w:gridCol w:w="5528"/>
      </w:tblGrid>
      <w:tr w:rsidR="00BD5588" w:rsidRPr="006063E2" w:rsidTr="006E31E0">
        <w:trPr>
          <w:cantSplit/>
        </w:trPr>
        <w:tc>
          <w:tcPr>
            <w:tcW w:w="5000" w:type="pct"/>
            <w:gridSpan w:val="3"/>
            <w:vAlign w:val="center"/>
            <w:hideMark/>
          </w:tcPr>
          <w:p w:rsidR="00BD5588" w:rsidRPr="006063E2" w:rsidRDefault="00BD5588" w:rsidP="009E0502">
            <w:pPr>
              <w:jc w:val="center"/>
              <w:rPr>
                <w:b/>
                <w:bCs/>
              </w:rPr>
            </w:pPr>
            <w:r w:rsidRPr="006063E2">
              <w:rPr>
                <w:b/>
                <w:bCs/>
              </w:rPr>
              <w:t>II. Tiesību akta projekta ietekme uz sabiedrību, tautsaimniecības attīstību un administratīvo slogu</w:t>
            </w:r>
          </w:p>
        </w:tc>
      </w:tr>
      <w:tr w:rsidR="00BD5588" w:rsidRPr="006063E2" w:rsidTr="006E31E0">
        <w:trPr>
          <w:cantSplit/>
        </w:trPr>
        <w:tc>
          <w:tcPr>
            <w:tcW w:w="304" w:type="pct"/>
            <w:hideMark/>
          </w:tcPr>
          <w:p w:rsidR="00BD5588" w:rsidRPr="006063E2" w:rsidRDefault="00BD5588" w:rsidP="009E0502">
            <w:pPr>
              <w:jc w:val="center"/>
            </w:pPr>
            <w:r w:rsidRPr="006063E2">
              <w:t>1.</w:t>
            </w:r>
          </w:p>
        </w:tc>
        <w:tc>
          <w:tcPr>
            <w:tcW w:w="1444" w:type="pct"/>
            <w:hideMark/>
          </w:tcPr>
          <w:p w:rsidR="00BD5588" w:rsidRPr="006063E2" w:rsidRDefault="00BD5588" w:rsidP="009E0502">
            <w:r w:rsidRPr="006063E2">
              <w:t xml:space="preserve">Sabiedrības </w:t>
            </w:r>
            <w:proofErr w:type="spellStart"/>
            <w:r w:rsidRPr="006063E2">
              <w:t>mērķgrupas</w:t>
            </w:r>
            <w:proofErr w:type="spellEnd"/>
            <w:r w:rsidRPr="006063E2">
              <w:t>, kuras tiesiskais regulējums ietekmē vai varētu ietekmēt</w:t>
            </w:r>
          </w:p>
        </w:tc>
        <w:tc>
          <w:tcPr>
            <w:tcW w:w="3252" w:type="pct"/>
            <w:hideMark/>
          </w:tcPr>
          <w:p w:rsidR="00BD5588" w:rsidRPr="006063E2" w:rsidRDefault="00A74B64" w:rsidP="009E0502">
            <w:r>
              <w:t>Zinātnieki, promociju padomes, Latvijas zinātnes padomes eksperti</w:t>
            </w:r>
            <w:r w:rsidR="00A84ED6">
              <w:t xml:space="preserve"> un komisijas</w:t>
            </w:r>
            <w:r>
              <w:t>.</w:t>
            </w:r>
          </w:p>
        </w:tc>
      </w:tr>
      <w:tr w:rsidR="00BD5588" w:rsidRPr="006063E2" w:rsidTr="006E31E0">
        <w:trPr>
          <w:cantSplit/>
        </w:trPr>
        <w:tc>
          <w:tcPr>
            <w:tcW w:w="304" w:type="pct"/>
            <w:hideMark/>
          </w:tcPr>
          <w:p w:rsidR="00BD5588" w:rsidRPr="006063E2" w:rsidRDefault="00BD5588" w:rsidP="009E0502">
            <w:pPr>
              <w:jc w:val="center"/>
            </w:pPr>
            <w:r w:rsidRPr="006063E2">
              <w:t>2.</w:t>
            </w:r>
          </w:p>
        </w:tc>
        <w:tc>
          <w:tcPr>
            <w:tcW w:w="1444" w:type="pct"/>
            <w:hideMark/>
          </w:tcPr>
          <w:p w:rsidR="00BD5588" w:rsidRPr="006063E2" w:rsidRDefault="00BD5588" w:rsidP="009E0502">
            <w:r w:rsidRPr="006063E2">
              <w:t>Tiesiskā regulējuma ietekme uz tautsaimniecību un administratīvo slogu</w:t>
            </w:r>
          </w:p>
        </w:tc>
        <w:tc>
          <w:tcPr>
            <w:tcW w:w="3252" w:type="pct"/>
            <w:hideMark/>
          </w:tcPr>
          <w:p w:rsidR="00BD5588" w:rsidRPr="006063E2" w:rsidRDefault="00A74B64" w:rsidP="009E0502">
            <w:r>
              <w:t>Projekts šo jomu neskar.</w:t>
            </w:r>
          </w:p>
        </w:tc>
      </w:tr>
      <w:tr w:rsidR="00BD5588" w:rsidRPr="006063E2" w:rsidTr="006E31E0">
        <w:trPr>
          <w:cantSplit/>
        </w:trPr>
        <w:tc>
          <w:tcPr>
            <w:tcW w:w="304" w:type="pct"/>
            <w:hideMark/>
          </w:tcPr>
          <w:p w:rsidR="00BD5588" w:rsidRPr="006063E2" w:rsidRDefault="00BD5588" w:rsidP="009E0502">
            <w:pPr>
              <w:jc w:val="center"/>
            </w:pPr>
            <w:r w:rsidRPr="006063E2">
              <w:t>3.</w:t>
            </w:r>
          </w:p>
        </w:tc>
        <w:tc>
          <w:tcPr>
            <w:tcW w:w="1444" w:type="pct"/>
            <w:hideMark/>
          </w:tcPr>
          <w:p w:rsidR="00BD5588" w:rsidRPr="00227C1E" w:rsidRDefault="00BD5588" w:rsidP="009E0502">
            <w:r w:rsidRPr="00227C1E">
              <w:t>Administratīvo izmaksu monetārs novērtējums</w:t>
            </w:r>
          </w:p>
        </w:tc>
        <w:tc>
          <w:tcPr>
            <w:tcW w:w="3252" w:type="pct"/>
            <w:hideMark/>
          </w:tcPr>
          <w:p w:rsidR="00BD5588" w:rsidRPr="00227C1E" w:rsidRDefault="00227C1E" w:rsidP="00227C1E">
            <w:r w:rsidRPr="00227C1E">
              <w:t xml:space="preserve">Administratīvās izmaksas naudas izteiksmē gada laikā </w:t>
            </w:r>
            <w:proofErr w:type="spellStart"/>
            <w:r w:rsidRPr="00227C1E">
              <w:t>mērķgrupām</w:t>
            </w:r>
            <w:proofErr w:type="spellEnd"/>
            <w:r w:rsidRPr="00227C1E">
              <w:t>, ko veido fiziskas personas, uz kuriem ir attiecināms projekts,</w:t>
            </w:r>
            <w:r>
              <w:t xml:space="preserve"> </w:t>
            </w:r>
            <w:r w:rsidRPr="00227C1E">
              <w:t>nepārsniedz 200 </w:t>
            </w:r>
            <w:proofErr w:type="spellStart"/>
            <w:r w:rsidRPr="00227C1E">
              <w:rPr>
                <w:i/>
              </w:rPr>
              <w:t>euro</w:t>
            </w:r>
            <w:proofErr w:type="spellEnd"/>
            <w:r w:rsidRPr="00227C1E">
              <w:t>.</w:t>
            </w:r>
          </w:p>
        </w:tc>
      </w:tr>
      <w:tr w:rsidR="00BD5588" w:rsidRPr="006063E2" w:rsidTr="006E31E0">
        <w:trPr>
          <w:cantSplit/>
        </w:trPr>
        <w:tc>
          <w:tcPr>
            <w:tcW w:w="304" w:type="pct"/>
            <w:hideMark/>
          </w:tcPr>
          <w:p w:rsidR="00BD5588" w:rsidRPr="006063E2" w:rsidRDefault="00BD5588" w:rsidP="009E0502">
            <w:pPr>
              <w:jc w:val="center"/>
            </w:pPr>
            <w:r w:rsidRPr="006063E2">
              <w:t>4.</w:t>
            </w:r>
          </w:p>
        </w:tc>
        <w:tc>
          <w:tcPr>
            <w:tcW w:w="1444" w:type="pct"/>
            <w:hideMark/>
          </w:tcPr>
          <w:p w:rsidR="00BD5588" w:rsidRPr="006063E2" w:rsidRDefault="00BD5588" w:rsidP="009E0502">
            <w:r w:rsidRPr="006063E2">
              <w:t>Atbilstības izmaksu monetārs novērtējums</w:t>
            </w:r>
          </w:p>
        </w:tc>
        <w:tc>
          <w:tcPr>
            <w:tcW w:w="3252" w:type="pct"/>
            <w:hideMark/>
          </w:tcPr>
          <w:p w:rsidR="00BD5588" w:rsidRPr="006063E2" w:rsidRDefault="00A74B64" w:rsidP="009E0502">
            <w:r>
              <w:t>Projekts šo jomu neskar.</w:t>
            </w:r>
          </w:p>
        </w:tc>
      </w:tr>
      <w:tr w:rsidR="00BD5588" w:rsidRPr="006063E2" w:rsidTr="006E31E0">
        <w:trPr>
          <w:cantSplit/>
        </w:trPr>
        <w:tc>
          <w:tcPr>
            <w:tcW w:w="304" w:type="pct"/>
            <w:hideMark/>
          </w:tcPr>
          <w:p w:rsidR="00BD5588" w:rsidRPr="006063E2" w:rsidRDefault="00BD5588" w:rsidP="009E0502">
            <w:pPr>
              <w:jc w:val="center"/>
            </w:pPr>
            <w:r w:rsidRPr="006063E2">
              <w:t>5.</w:t>
            </w:r>
          </w:p>
        </w:tc>
        <w:tc>
          <w:tcPr>
            <w:tcW w:w="1444" w:type="pct"/>
            <w:hideMark/>
          </w:tcPr>
          <w:p w:rsidR="00BD5588" w:rsidRPr="006063E2" w:rsidRDefault="00BD5588" w:rsidP="009E0502">
            <w:r w:rsidRPr="006063E2">
              <w:t>Cita informācija</w:t>
            </w:r>
          </w:p>
        </w:tc>
        <w:tc>
          <w:tcPr>
            <w:tcW w:w="3252" w:type="pct"/>
            <w:hideMark/>
          </w:tcPr>
          <w:p w:rsidR="00BD5588" w:rsidRPr="006063E2" w:rsidRDefault="00A74B64" w:rsidP="009E0502">
            <w:r>
              <w:t>Nav</w:t>
            </w:r>
          </w:p>
        </w:tc>
      </w:tr>
    </w:tbl>
    <w:p w:rsidR="00BD5588" w:rsidRPr="006063E2" w:rsidRDefault="00BD5588" w:rsidP="00BD5588">
      <w:pPr>
        <w:pStyle w:val="Title"/>
        <w:spacing w:before="130" w:line="260" w:lineRule="exact"/>
        <w:ind w:firstLine="539"/>
        <w:jc w:val="both"/>
        <w:rPr>
          <w:sz w:val="24"/>
          <w:szCs w:val="24"/>
        </w:rPr>
      </w:pPr>
    </w:p>
    <w:p w:rsidR="00BD5588" w:rsidRPr="006063E2" w:rsidRDefault="00BD5588" w:rsidP="00BD5588">
      <w:pPr>
        <w:pStyle w:val="Title"/>
        <w:spacing w:before="130" w:line="260" w:lineRule="exact"/>
        <w:ind w:firstLine="539"/>
        <w:jc w:val="both"/>
        <w:rPr>
          <w:sz w:val="24"/>
          <w:szCs w:val="24"/>
        </w:rPr>
      </w:pPr>
    </w:p>
    <w:p w:rsidR="00BD5588" w:rsidRPr="006063E2"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6063E2" w:rsidTr="003D30A4">
        <w:trPr>
          <w:cantSplit/>
        </w:trPr>
        <w:tc>
          <w:tcPr>
            <w:tcW w:w="8299" w:type="dxa"/>
            <w:shd w:val="clear" w:color="auto" w:fill="auto"/>
            <w:vAlign w:val="center"/>
            <w:hideMark/>
          </w:tcPr>
          <w:p w:rsidR="00BD5588" w:rsidRPr="006063E2" w:rsidRDefault="00BD5588" w:rsidP="009E0502">
            <w:pPr>
              <w:jc w:val="center"/>
              <w:rPr>
                <w:b/>
                <w:bCs/>
                <w:lang w:eastAsia="en-US"/>
              </w:rPr>
            </w:pPr>
            <w:r w:rsidRPr="006063E2">
              <w:rPr>
                <w:b/>
                <w:bCs/>
                <w:lang w:eastAsia="en-US"/>
              </w:rPr>
              <w:t>III. Tiesību akta projekta ietekme uz valsts budžetu un pašvaldību budžetiem</w:t>
            </w:r>
          </w:p>
        </w:tc>
      </w:tr>
      <w:tr w:rsidR="003D30A4" w:rsidRPr="006063E2" w:rsidTr="003D30A4">
        <w:trPr>
          <w:cantSplit/>
        </w:trPr>
        <w:tc>
          <w:tcPr>
            <w:tcW w:w="8299" w:type="dxa"/>
            <w:shd w:val="clear" w:color="auto" w:fill="auto"/>
            <w:vAlign w:val="center"/>
          </w:tcPr>
          <w:p w:rsidR="003D30A4" w:rsidRPr="003D30A4" w:rsidRDefault="003D30A4" w:rsidP="009E0502">
            <w:pPr>
              <w:jc w:val="center"/>
              <w:rPr>
                <w:bCs/>
                <w:lang w:eastAsia="en-US"/>
              </w:rPr>
            </w:pPr>
            <w:r w:rsidRPr="003D30A4">
              <w:rPr>
                <w:bCs/>
                <w:lang w:eastAsia="en-US"/>
              </w:rPr>
              <w:t>Projekts šo jomu neskar.</w:t>
            </w:r>
          </w:p>
        </w:tc>
      </w:tr>
      <w:tr w:rsidR="00BD5588" w:rsidRPr="006063E2" w:rsidTr="003D30A4">
        <w:tblPrEx>
          <w:tblCellMar>
            <w:top w:w="30" w:type="dxa"/>
            <w:left w:w="30" w:type="dxa"/>
            <w:bottom w:w="30" w:type="dxa"/>
            <w:right w:w="30" w:type="dxa"/>
          </w:tblCellMar>
        </w:tblPrEx>
        <w:trPr>
          <w:cantSplit/>
        </w:trPr>
        <w:tc>
          <w:tcPr>
            <w:tcW w:w="8299" w:type="dxa"/>
            <w:vAlign w:val="center"/>
            <w:hideMark/>
          </w:tcPr>
          <w:p w:rsidR="00BD5588" w:rsidRPr="006063E2" w:rsidRDefault="00BD5588" w:rsidP="009E0502">
            <w:pPr>
              <w:jc w:val="center"/>
              <w:rPr>
                <w:b/>
                <w:bCs/>
              </w:rPr>
            </w:pPr>
            <w:r w:rsidRPr="006063E2">
              <w:rPr>
                <w:b/>
                <w:bCs/>
              </w:rPr>
              <w:t>IV. Tiesību akta projekta ietekme uz spēkā esošo tiesību normu sistēmu</w:t>
            </w:r>
          </w:p>
        </w:tc>
      </w:tr>
      <w:tr w:rsidR="00A74B64" w:rsidRPr="006063E2" w:rsidTr="003D30A4">
        <w:tblPrEx>
          <w:tblCellMar>
            <w:top w:w="30" w:type="dxa"/>
            <w:left w:w="30" w:type="dxa"/>
            <w:bottom w:w="30" w:type="dxa"/>
            <w:right w:w="30" w:type="dxa"/>
          </w:tblCellMar>
        </w:tblPrEx>
        <w:trPr>
          <w:cantSplit/>
        </w:trPr>
        <w:tc>
          <w:tcPr>
            <w:tcW w:w="8299" w:type="dxa"/>
            <w:vAlign w:val="center"/>
          </w:tcPr>
          <w:p w:rsidR="00A74B64" w:rsidRPr="006063E2" w:rsidRDefault="00A74B64" w:rsidP="009E0502">
            <w:pPr>
              <w:jc w:val="center"/>
              <w:rPr>
                <w:b/>
                <w:bCs/>
              </w:rPr>
            </w:pPr>
            <w:r w:rsidRPr="003D30A4">
              <w:rPr>
                <w:bCs/>
                <w:lang w:eastAsia="en-US"/>
              </w:rPr>
              <w:t>Projekts šo jomu neskar.</w:t>
            </w:r>
          </w:p>
        </w:tc>
      </w:tr>
    </w:tbl>
    <w:p w:rsidR="00BD5588" w:rsidRPr="006063E2" w:rsidRDefault="00BD5588" w:rsidP="00A74B6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6063E2" w:rsidTr="009E0502">
        <w:trPr>
          <w:cantSplit/>
        </w:trPr>
        <w:tc>
          <w:tcPr>
            <w:tcW w:w="5000" w:type="pct"/>
            <w:vAlign w:val="center"/>
            <w:hideMark/>
          </w:tcPr>
          <w:p w:rsidR="00BD5588" w:rsidRPr="006063E2" w:rsidRDefault="00BD5588" w:rsidP="009E0502">
            <w:pPr>
              <w:jc w:val="center"/>
              <w:rPr>
                <w:b/>
                <w:bCs/>
              </w:rPr>
            </w:pPr>
            <w:r w:rsidRPr="006063E2">
              <w:rPr>
                <w:b/>
                <w:bCs/>
              </w:rPr>
              <w:t>V. Tiesību akta projekta atbilstība Latvijas Republikas starptautiskajām saistībām</w:t>
            </w:r>
          </w:p>
        </w:tc>
      </w:tr>
      <w:tr w:rsidR="003D30A4" w:rsidRPr="006063E2" w:rsidTr="009E0502">
        <w:trPr>
          <w:cantSplit/>
        </w:trPr>
        <w:tc>
          <w:tcPr>
            <w:tcW w:w="5000" w:type="pct"/>
            <w:vAlign w:val="center"/>
          </w:tcPr>
          <w:p w:rsidR="003D30A4" w:rsidRPr="006063E2" w:rsidRDefault="003D30A4" w:rsidP="009E0502">
            <w:pPr>
              <w:jc w:val="center"/>
              <w:rPr>
                <w:b/>
                <w:bCs/>
              </w:rPr>
            </w:pPr>
            <w:r w:rsidRPr="003D30A4">
              <w:rPr>
                <w:bCs/>
                <w:lang w:eastAsia="en-US"/>
              </w:rPr>
              <w:t>Projekts šo jomu neskar.</w:t>
            </w:r>
          </w:p>
        </w:tc>
      </w:tr>
    </w:tbl>
    <w:p w:rsidR="00BD5588" w:rsidRPr="006063E2" w:rsidRDefault="00BD5588" w:rsidP="003D30A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6063E2" w:rsidTr="009E0502">
        <w:trPr>
          <w:cantSplit/>
        </w:trPr>
        <w:tc>
          <w:tcPr>
            <w:tcW w:w="5000" w:type="pct"/>
            <w:gridSpan w:val="3"/>
            <w:vAlign w:val="center"/>
            <w:hideMark/>
          </w:tcPr>
          <w:p w:rsidR="00BD5588" w:rsidRPr="006063E2" w:rsidRDefault="00BD5588" w:rsidP="009E0502">
            <w:pPr>
              <w:jc w:val="center"/>
              <w:rPr>
                <w:b/>
                <w:bCs/>
              </w:rPr>
            </w:pPr>
            <w:r w:rsidRPr="006063E2">
              <w:rPr>
                <w:b/>
                <w:bCs/>
              </w:rPr>
              <w:t>VI. Sabiedrības līdzdalība un komunikācijas aktivitātes</w:t>
            </w:r>
          </w:p>
        </w:tc>
      </w:tr>
      <w:tr w:rsidR="00BD5588" w:rsidRPr="006063E2" w:rsidTr="009E0502">
        <w:trPr>
          <w:cantSplit/>
        </w:trPr>
        <w:tc>
          <w:tcPr>
            <w:tcW w:w="311" w:type="pct"/>
            <w:hideMark/>
          </w:tcPr>
          <w:p w:rsidR="00BD5588" w:rsidRPr="006063E2" w:rsidRDefault="00BD5588" w:rsidP="009E0502">
            <w:pPr>
              <w:jc w:val="center"/>
            </w:pPr>
            <w:r w:rsidRPr="006063E2">
              <w:t>1.</w:t>
            </w:r>
          </w:p>
        </w:tc>
        <w:tc>
          <w:tcPr>
            <w:tcW w:w="1479" w:type="pct"/>
            <w:hideMark/>
          </w:tcPr>
          <w:p w:rsidR="00BD5588" w:rsidRPr="006063E2" w:rsidRDefault="00BD5588" w:rsidP="009E0502">
            <w:r w:rsidRPr="006063E2">
              <w:t>Plānotās sabiedrības līdzdalības un komunikācijas aktivitātes saistībā ar projektu</w:t>
            </w:r>
          </w:p>
        </w:tc>
        <w:tc>
          <w:tcPr>
            <w:tcW w:w="3210" w:type="pct"/>
            <w:hideMark/>
          </w:tcPr>
          <w:p w:rsidR="00BD5588" w:rsidRPr="003D30A4" w:rsidRDefault="003D30A4" w:rsidP="003D30A4">
            <w:pPr>
              <w:jc w:val="both"/>
            </w:pPr>
            <w:r w:rsidRPr="003D30A4">
              <w:t>Sabiedrības pārstāvji var līdzdarboties projekta pilnveidē, sniedzot viedokli ministrijai, kā arī  atzinumu līdz projekta izskatīšanai Ministru kabinetā.</w:t>
            </w:r>
          </w:p>
        </w:tc>
      </w:tr>
      <w:tr w:rsidR="00BD5588" w:rsidRPr="006063E2" w:rsidTr="009E0502">
        <w:trPr>
          <w:cantSplit/>
        </w:trPr>
        <w:tc>
          <w:tcPr>
            <w:tcW w:w="311" w:type="pct"/>
            <w:hideMark/>
          </w:tcPr>
          <w:p w:rsidR="00BD5588" w:rsidRPr="006063E2" w:rsidRDefault="00BD5588" w:rsidP="009E0502">
            <w:pPr>
              <w:jc w:val="center"/>
            </w:pPr>
            <w:r w:rsidRPr="006063E2">
              <w:lastRenderedPageBreak/>
              <w:t>2.</w:t>
            </w:r>
          </w:p>
        </w:tc>
        <w:tc>
          <w:tcPr>
            <w:tcW w:w="1479" w:type="pct"/>
            <w:hideMark/>
          </w:tcPr>
          <w:p w:rsidR="00BD5588" w:rsidRPr="006063E2" w:rsidRDefault="00BD5588" w:rsidP="009E0502">
            <w:r w:rsidRPr="006063E2">
              <w:t>Sabiedrības līdzdalība projekta izstrādē</w:t>
            </w:r>
          </w:p>
        </w:tc>
        <w:tc>
          <w:tcPr>
            <w:tcW w:w="3210" w:type="pct"/>
            <w:hideMark/>
          </w:tcPr>
          <w:p w:rsidR="00BD5588" w:rsidRPr="003D30A4" w:rsidRDefault="003D30A4" w:rsidP="003D30A4">
            <w:pPr>
              <w:jc w:val="both"/>
            </w:pPr>
            <w:r w:rsidRPr="003D30A4">
              <w:t>Lai informētu sabiedrību par noteikumu projektu un dotu iespēju ieinteresētajām personām izteikt viedokli, projekts ievietots Izglītības un zinātnes ministrijas mājaslapā</w:t>
            </w:r>
          </w:p>
          <w:p w:rsidR="003D30A4" w:rsidRPr="006063E2" w:rsidRDefault="003D30A4" w:rsidP="003D30A4"/>
        </w:tc>
      </w:tr>
      <w:tr w:rsidR="00BD5588" w:rsidRPr="006063E2" w:rsidTr="009E0502">
        <w:trPr>
          <w:cantSplit/>
        </w:trPr>
        <w:tc>
          <w:tcPr>
            <w:tcW w:w="311" w:type="pct"/>
            <w:hideMark/>
          </w:tcPr>
          <w:p w:rsidR="00BD5588" w:rsidRPr="006063E2" w:rsidRDefault="00BD5588" w:rsidP="009E0502">
            <w:pPr>
              <w:jc w:val="center"/>
            </w:pPr>
            <w:r w:rsidRPr="006063E2">
              <w:t>3.</w:t>
            </w:r>
          </w:p>
        </w:tc>
        <w:tc>
          <w:tcPr>
            <w:tcW w:w="1479" w:type="pct"/>
            <w:hideMark/>
          </w:tcPr>
          <w:p w:rsidR="00BD5588" w:rsidRPr="006063E2" w:rsidRDefault="00BD5588" w:rsidP="009E0502">
            <w:r w:rsidRPr="006063E2">
              <w:t>Sabiedrības līdzdalības rezultāti</w:t>
            </w:r>
          </w:p>
        </w:tc>
        <w:tc>
          <w:tcPr>
            <w:tcW w:w="3210" w:type="pct"/>
            <w:hideMark/>
          </w:tcPr>
          <w:p w:rsidR="00BD5588" w:rsidRPr="003D30A4" w:rsidRDefault="003D30A4" w:rsidP="003D30A4">
            <w:pPr>
              <w:jc w:val="both"/>
            </w:pPr>
            <w:r w:rsidRPr="003D30A4">
              <w:t>Šobrīd nav saņemti priekšlikumi no sabiedrības pārstāvjiem.</w:t>
            </w:r>
          </w:p>
        </w:tc>
      </w:tr>
      <w:tr w:rsidR="00BD5588" w:rsidRPr="006063E2" w:rsidTr="009E0502">
        <w:trPr>
          <w:cantSplit/>
        </w:trPr>
        <w:tc>
          <w:tcPr>
            <w:tcW w:w="311" w:type="pct"/>
            <w:hideMark/>
          </w:tcPr>
          <w:p w:rsidR="00BD5588" w:rsidRPr="006063E2" w:rsidRDefault="00BD5588" w:rsidP="009E0502">
            <w:pPr>
              <w:jc w:val="center"/>
            </w:pPr>
            <w:r w:rsidRPr="006063E2">
              <w:t>4.</w:t>
            </w:r>
          </w:p>
        </w:tc>
        <w:tc>
          <w:tcPr>
            <w:tcW w:w="1479" w:type="pct"/>
            <w:hideMark/>
          </w:tcPr>
          <w:p w:rsidR="00BD5588" w:rsidRPr="006063E2" w:rsidRDefault="00BD5588" w:rsidP="009E0502">
            <w:r w:rsidRPr="006063E2">
              <w:t>Cita informācija</w:t>
            </w:r>
          </w:p>
        </w:tc>
        <w:tc>
          <w:tcPr>
            <w:tcW w:w="3210" w:type="pct"/>
            <w:hideMark/>
          </w:tcPr>
          <w:p w:rsidR="00BD5588" w:rsidRPr="006063E2" w:rsidRDefault="003D30A4" w:rsidP="009E0502">
            <w:r>
              <w:t>Nav</w:t>
            </w:r>
          </w:p>
        </w:tc>
      </w:tr>
    </w:tbl>
    <w:p w:rsidR="00BD5588" w:rsidRPr="006063E2"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6063E2" w:rsidTr="009E0502">
        <w:trPr>
          <w:cantSplit/>
        </w:trPr>
        <w:tc>
          <w:tcPr>
            <w:tcW w:w="5000" w:type="pct"/>
            <w:gridSpan w:val="3"/>
            <w:vAlign w:val="center"/>
            <w:hideMark/>
          </w:tcPr>
          <w:p w:rsidR="00BD5588" w:rsidRPr="006063E2" w:rsidRDefault="00BD5588" w:rsidP="009E0502">
            <w:pPr>
              <w:jc w:val="center"/>
              <w:rPr>
                <w:b/>
                <w:bCs/>
              </w:rPr>
            </w:pPr>
            <w:r w:rsidRPr="006063E2">
              <w:rPr>
                <w:b/>
                <w:bCs/>
              </w:rPr>
              <w:t>VII. Tiesību akta projekta izpildes nodrošināšana un tās ietekme uz institūcijām</w:t>
            </w:r>
          </w:p>
        </w:tc>
      </w:tr>
      <w:tr w:rsidR="00BD5588" w:rsidRPr="006063E2" w:rsidTr="009E0502">
        <w:trPr>
          <w:cantSplit/>
        </w:trPr>
        <w:tc>
          <w:tcPr>
            <w:tcW w:w="311" w:type="pct"/>
            <w:hideMark/>
          </w:tcPr>
          <w:p w:rsidR="00BD5588" w:rsidRPr="006063E2" w:rsidRDefault="00BD5588" w:rsidP="009E0502">
            <w:pPr>
              <w:jc w:val="center"/>
            </w:pPr>
            <w:r w:rsidRPr="006063E2">
              <w:t>1.</w:t>
            </w:r>
          </w:p>
        </w:tc>
        <w:tc>
          <w:tcPr>
            <w:tcW w:w="1479" w:type="pct"/>
            <w:hideMark/>
          </w:tcPr>
          <w:p w:rsidR="00BD5588" w:rsidRPr="006063E2" w:rsidRDefault="00BD5588" w:rsidP="009E0502">
            <w:r w:rsidRPr="006063E2">
              <w:t>Projekta izpildē iesaistītās institūcijas</w:t>
            </w:r>
          </w:p>
        </w:tc>
        <w:tc>
          <w:tcPr>
            <w:tcW w:w="3210" w:type="pct"/>
            <w:hideMark/>
          </w:tcPr>
          <w:p w:rsidR="00BD5588" w:rsidRPr="003D30A4" w:rsidRDefault="003D30A4" w:rsidP="003D30A4">
            <w:pPr>
              <w:jc w:val="both"/>
            </w:pPr>
            <w:r w:rsidRPr="003D30A4">
              <w:rPr>
                <w:iCs/>
              </w:rPr>
              <w:t>Izglītības un zinātnes ministrija un Latvijas Zinātnes padome</w:t>
            </w:r>
          </w:p>
        </w:tc>
      </w:tr>
      <w:tr w:rsidR="00BD5588" w:rsidRPr="006063E2" w:rsidTr="009E0502">
        <w:trPr>
          <w:cantSplit/>
        </w:trPr>
        <w:tc>
          <w:tcPr>
            <w:tcW w:w="311" w:type="pct"/>
            <w:hideMark/>
          </w:tcPr>
          <w:p w:rsidR="00BD5588" w:rsidRPr="006063E2" w:rsidRDefault="00BD5588" w:rsidP="009E0502">
            <w:pPr>
              <w:jc w:val="center"/>
            </w:pPr>
            <w:r w:rsidRPr="006063E2">
              <w:t>2.</w:t>
            </w:r>
          </w:p>
        </w:tc>
        <w:tc>
          <w:tcPr>
            <w:tcW w:w="1479" w:type="pct"/>
            <w:hideMark/>
          </w:tcPr>
          <w:p w:rsidR="00BD5588" w:rsidRPr="003D30A4" w:rsidRDefault="00BD5588" w:rsidP="003D30A4">
            <w:pPr>
              <w:jc w:val="both"/>
            </w:pPr>
            <w:r w:rsidRPr="003D30A4">
              <w:t>Projekta izpildes ietekme uz pārvaldes funkcijām un institucionālo struktūru.</w:t>
            </w:r>
            <w:r w:rsidRPr="003D30A4">
              <w:br/>
              <w:t>Jaunu institūciju izveide, esošu institūciju likvidācija vai reorganizācija, to ietekme uz institūcijas cilvēkresursiem</w:t>
            </w:r>
          </w:p>
        </w:tc>
        <w:tc>
          <w:tcPr>
            <w:tcW w:w="3210" w:type="pct"/>
            <w:hideMark/>
          </w:tcPr>
          <w:p w:rsidR="00BD5588" w:rsidRPr="003D30A4" w:rsidRDefault="003D30A4" w:rsidP="003D30A4">
            <w:pPr>
              <w:jc w:val="both"/>
            </w:pPr>
            <w:r w:rsidRPr="003D30A4">
              <w:rPr>
                <w:iCs/>
              </w:rPr>
              <w:t>Projektam</w:t>
            </w:r>
            <w:r w:rsidRPr="003D30A4">
              <w:t xml:space="preserve"> nav ietekmes uz pārvaldes funkcijām un institucionālo struktūru. Saistībā ar projekta izpildi jaunu institūciju izveide, institūciju likvidācija vai reorganizācija nav nepieciešama.</w:t>
            </w:r>
          </w:p>
        </w:tc>
      </w:tr>
      <w:tr w:rsidR="00BD5588" w:rsidRPr="006063E2" w:rsidTr="009E0502">
        <w:trPr>
          <w:cantSplit/>
        </w:trPr>
        <w:tc>
          <w:tcPr>
            <w:tcW w:w="311" w:type="pct"/>
            <w:hideMark/>
          </w:tcPr>
          <w:p w:rsidR="00BD5588" w:rsidRPr="006063E2" w:rsidRDefault="00BD5588" w:rsidP="009E0502">
            <w:pPr>
              <w:jc w:val="center"/>
            </w:pPr>
            <w:r w:rsidRPr="006063E2">
              <w:t>3.</w:t>
            </w:r>
          </w:p>
        </w:tc>
        <w:tc>
          <w:tcPr>
            <w:tcW w:w="1479" w:type="pct"/>
            <w:hideMark/>
          </w:tcPr>
          <w:p w:rsidR="00BD5588" w:rsidRPr="006063E2" w:rsidRDefault="00BD5588" w:rsidP="009E0502">
            <w:r w:rsidRPr="006063E2">
              <w:t>Cita informācija</w:t>
            </w:r>
          </w:p>
        </w:tc>
        <w:tc>
          <w:tcPr>
            <w:tcW w:w="3210" w:type="pct"/>
            <w:hideMark/>
          </w:tcPr>
          <w:p w:rsidR="00BD5588" w:rsidRPr="006063E2" w:rsidRDefault="003D30A4" w:rsidP="009E0502">
            <w:r>
              <w:t>Nav</w:t>
            </w:r>
          </w:p>
        </w:tc>
      </w:tr>
    </w:tbl>
    <w:p w:rsidR="00A74B64" w:rsidRDefault="00A74B64" w:rsidP="00A74B64"/>
    <w:p w:rsidR="00A74B64" w:rsidRPr="00A74B64" w:rsidRDefault="00A74B64" w:rsidP="005722AB">
      <w:pPr>
        <w:ind w:firstLine="720"/>
      </w:pPr>
      <w:r w:rsidRPr="00A74B64">
        <w:t>Izgl</w:t>
      </w:r>
      <w:r w:rsidR="005722AB">
        <w:t>ītības un zinātnes ministre</w:t>
      </w:r>
      <w:r w:rsidR="005722AB">
        <w:tab/>
      </w:r>
      <w:r w:rsidR="005722AB">
        <w:tab/>
      </w:r>
      <w:r w:rsidR="005722AB">
        <w:tab/>
      </w:r>
      <w:r w:rsidR="005722AB">
        <w:tab/>
      </w:r>
      <w:r w:rsidRPr="00A74B64">
        <w:t>Ilga Šuplinska</w:t>
      </w:r>
    </w:p>
    <w:p w:rsidR="00A74B64" w:rsidRPr="00A74B64" w:rsidRDefault="00A74B64" w:rsidP="00A74B64">
      <w:pPr>
        <w:pStyle w:val="Heading1"/>
        <w:ind w:firstLine="720"/>
        <w:jc w:val="both"/>
        <w:rPr>
          <w:sz w:val="24"/>
        </w:rPr>
      </w:pPr>
    </w:p>
    <w:p w:rsidR="00A74B64" w:rsidRPr="00A74B64" w:rsidRDefault="00A74B64" w:rsidP="00A74B64">
      <w:pPr>
        <w:rPr>
          <w:lang w:eastAsia="en-US"/>
        </w:rPr>
      </w:pPr>
    </w:p>
    <w:p w:rsidR="00A74B64" w:rsidRPr="00A74B64" w:rsidRDefault="00A74B64" w:rsidP="005722AB">
      <w:pPr>
        <w:ind w:firstLine="720"/>
        <w:jc w:val="both"/>
      </w:pPr>
      <w:r w:rsidRPr="00A74B64">
        <w:t xml:space="preserve">Vizē: </w:t>
      </w:r>
    </w:p>
    <w:p w:rsidR="00E44472" w:rsidRDefault="005722AB" w:rsidP="005722AB">
      <w:pPr>
        <w:ind w:firstLine="720"/>
        <w:jc w:val="both"/>
      </w:pPr>
      <w:r>
        <w:t>Valsts sekretāre</w:t>
      </w:r>
      <w:r>
        <w:tab/>
      </w:r>
      <w:r>
        <w:tab/>
      </w:r>
      <w:r>
        <w:tab/>
      </w:r>
      <w:r>
        <w:tab/>
      </w:r>
      <w:r>
        <w:tab/>
      </w:r>
      <w:r>
        <w:tab/>
      </w:r>
      <w:r w:rsidR="00A74B64" w:rsidRPr="00A74B64">
        <w:t>Līga Lejiņa</w:t>
      </w:r>
    </w:p>
    <w:p w:rsidR="005722AB" w:rsidRDefault="005722AB" w:rsidP="00951BB9">
      <w:pPr>
        <w:jc w:val="both"/>
      </w:pPr>
    </w:p>
    <w:p w:rsidR="005722AB" w:rsidRDefault="005722AB" w:rsidP="00951BB9">
      <w:pPr>
        <w:jc w:val="both"/>
      </w:pPr>
    </w:p>
    <w:p w:rsidR="005722AB" w:rsidRDefault="005722AB" w:rsidP="00951BB9">
      <w:pPr>
        <w:jc w:val="both"/>
      </w:pPr>
    </w:p>
    <w:p w:rsidR="005722AB" w:rsidRDefault="005722AB" w:rsidP="00951BB9">
      <w:pPr>
        <w:jc w:val="both"/>
      </w:pPr>
    </w:p>
    <w:p w:rsidR="005722AB" w:rsidRDefault="005722AB" w:rsidP="00951BB9">
      <w:pPr>
        <w:jc w:val="both"/>
      </w:pPr>
    </w:p>
    <w:p w:rsidR="005722AB" w:rsidRDefault="005722AB" w:rsidP="00951BB9">
      <w:pPr>
        <w:jc w:val="both"/>
      </w:pPr>
    </w:p>
    <w:p w:rsidR="005722AB" w:rsidRPr="00892A60" w:rsidRDefault="005722AB" w:rsidP="005722AB">
      <w:pPr>
        <w:pStyle w:val="Title"/>
        <w:ind w:firstLine="709"/>
        <w:jc w:val="both"/>
        <w:outlineLvl w:val="0"/>
        <w:rPr>
          <w:sz w:val="20"/>
        </w:rPr>
      </w:pPr>
      <w:r w:rsidRPr="00892A60">
        <w:rPr>
          <w:sz w:val="20"/>
        </w:rPr>
        <w:t>Depkovska, 67047772</w:t>
      </w:r>
    </w:p>
    <w:p w:rsidR="005722AB" w:rsidRPr="006063E2" w:rsidRDefault="00240668" w:rsidP="005722AB">
      <w:pPr>
        <w:ind w:firstLine="709"/>
        <w:jc w:val="both"/>
      </w:pPr>
      <w:hyperlink r:id="rId14" w:history="1">
        <w:r w:rsidR="005722AB" w:rsidRPr="00A31E5C">
          <w:rPr>
            <w:rStyle w:val="Hyperlink"/>
            <w:sz w:val="20"/>
          </w:rPr>
          <w:t>anita.depkovska@izm.gov.lv</w:t>
        </w:r>
      </w:hyperlink>
    </w:p>
    <w:sectPr w:rsidR="005722AB" w:rsidRPr="006063E2" w:rsidSect="00951BB9">
      <w:headerReference w:type="default" r:id="rId15"/>
      <w:footerReference w:type="default" r:id="rId16"/>
      <w:footerReference w:type="first" r:id="rId17"/>
      <w:pgSz w:w="11906" w:h="16838"/>
      <w:pgMar w:top="1276" w:right="1800"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68" w:rsidRDefault="00240668" w:rsidP="0092669E">
      <w:r>
        <w:separator/>
      </w:r>
    </w:p>
  </w:endnote>
  <w:endnote w:type="continuationSeparator" w:id="0">
    <w:p w:rsidR="00240668" w:rsidRDefault="00240668" w:rsidP="0092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A4" w:rsidRPr="003D30A4" w:rsidRDefault="003D30A4" w:rsidP="003D30A4">
    <w:pPr>
      <w:pStyle w:val="Title"/>
      <w:ind w:firstLine="709"/>
      <w:jc w:val="both"/>
      <w:outlineLvl w:val="0"/>
      <w:rPr>
        <w:sz w:val="20"/>
      </w:rPr>
    </w:pPr>
    <w:r w:rsidRPr="003D30A4">
      <w:rPr>
        <w:sz w:val="20"/>
      </w:rPr>
      <w:t xml:space="preserve">IZManot_210319_groz724; </w:t>
    </w:r>
    <w:r w:rsidRPr="003D30A4">
      <w:rPr>
        <w:bCs/>
        <w:sz w:val="20"/>
      </w:rPr>
      <w:t xml:space="preserve">Ministru kabineta noteikumu projekta “Grozījumi Ministru kabineta </w:t>
    </w:r>
    <w:r w:rsidRPr="003D30A4">
      <w:rPr>
        <w:sz w:val="20"/>
      </w:rPr>
      <w:t xml:space="preserve">2017. gada 12.decembra </w:t>
    </w:r>
    <w:r w:rsidRPr="003D30A4">
      <w:rPr>
        <w:bCs/>
        <w:sz w:val="20"/>
      </w:rPr>
      <w:t>noteikumos Nr. 724 “Noteikumi par Latvijas Zinātnes padomes ekspertu kvalifikācijas kritērijiem, ekspertu komisiju izveidošanu un to darbības organizēšanu” sākotnējās ietekmes novērtējuma ziņojums (anotācija)</w:t>
    </w:r>
  </w:p>
  <w:p w:rsidR="003D30A4" w:rsidRPr="003D30A4" w:rsidRDefault="003D30A4" w:rsidP="003D30A4">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B9" w:rsidRPr="003D30A4" w:rsidRDefault="008449B9" w:rsidP="008449B9">
    <w:pPr>
      <w:pStyle w:val="Title"/>
      <w:ind w:firstLine="709"/>
      <w:jc w:val="both"/>
      <w:outlineLvl w:val="0"/>
      <w:rPr>
        <w:sz w:val="20"/>
      </w:rPr>
    </w:pPr>
    <w:r w:rsidRPr="003D30A4">
      <w:rPr>
        <w:sz w:val="20"/>
      </w:rPr>
      <w:t xml:space="preserve">IZManot_210319_groz724; </w:t>
    </w:r>
    <w:r w:rsidRPr="003D30A4">
      <w:rPr>
        <w:bCs/>
        <w:sz w:val="20"/>
      </w:rPr>
      <w:t xml:space="preserve">Ministru kabineta noteikumu projekta “Grozījumi Ministru kabineta </w:t>
    </w:r>
    <w:r w:rsidRPr="003D30A4">
      <w:rPr>
        <w:sz w:val="20"/>
      </w:rPr>
      <w:t xml:space="preserve">2017. gada 12.decembra </w:t>
    </w:r>
    <w:r w:rsidRPr="003D30A4">
      <w:rPr>
        <w:bCs/>
        <w:sz w:val="20"/>
      </w:rPr>
      <w:t>noteikumos Nr. 724 “Noteikumi par Latvijas Zinātnes padomes ekspertu kvalifikācijas kritērijiem, ekspertu komisiju izveidošanu un to darbības organizēšanu” sākotnējās ietekmes novērtējuma ziņojums (anotācija)</w:t>
    </w:r>
  </w:p>
  <w:p w:rsidR="008449B9" w:rsidRDefault="00844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68" w:rsidRDefault="00240668" w:rsidP="0092669E">
      <w:r>
        <w:separator/>
      </w:r>
    </w:p>
  </w:footnote>
  <w:footnote w:type="continuationSeparator" w:id="0">
    <w:p w:rsidR="00240668" w:rsidRDefault="00240668" w:rsidP="0092669E">
      <w:r>
        <w:continuationSeparator/>
      </w:r>
    </w:p>
  </w:footnote>
  <w:footnote w:id="1">
    <w:p w:rsidR="00240934" w:rsidRPr="00240934" w:rsidRDefault="00240934" w:rsidP="00240934">
      <w:pPr>
        <w:jc w:val="both"/>
        <w:rPr>
          <w:sz w:val="20"/>
          <w:szCs w:val="20"/>
        </w:rPr>
      </w:pPr>
      <w:r w:rsidRPr="00240934">
        <w:rPr>
          <w:rStyle w:val="FootnoteReference"/>
          <w:sz w:val="20"/>
          <w:szCs w:val="20"/>
        </w:rPr>
        <w:footnoteRef/>
      </w:r>
      <w:r w:rsidRPr="00240934">
        <w:rPr>
          <w:bCs/>
          <w:sz w:val="20"/>
          <w:szCs w:val="20"/>
        </w:rPr>
        <w:t xml:space="preserve">Ministru kabineta </w:t>
      </w:r>
      <w:r w:rsidRPr="00240934">
        <w:rPr>
          <w:sz w:val="20"/>
          <w:szCs w:val="20"/>
        </w:rPr>
        <w:t xml:space="preserve">2006.gada 20.jūnija </w:t>
      </w:r>
      <w:r w:rsidRPr="00240934">
        <w:rPr>
          <w:bCs/>
          <w:sz w:val="20"/>
          <w:szCs w:val="20"/>
        </w:rPr>
        <w:t>noteikumi Nr.497</w:t>
      </w:r>
      <w:r w:rsidRPr="00240934">
        <w:rPr>
          <w:sz w:val="20"/>
          <w:szCs w:val="20"/>
        </w:rPr>
        <w:t xml:space="preserve"> </w:t>
      </w:r>
      <w:r w:rsidRPr="00240934">
        <w:rPr>
          <w:bCs/>
          <w:sz w:val="20"/>
          <w:szCs w:val="20"/>
        </w:rPr>
        <w:t>“Noteikumi par Latvijas Zinātnes padomes ekspertu komisiju izveidošanu un darbību”</w:t>
      </w:r>
    </w:p>
  </w:footnote>
  <w:footnote w:id="2">
    <w:p w:rsidR="00240934" w:rsidRPr="00240934" w:rsidRDefault="00240934" w:rsidP="00240934">
      <w:pPr>
        <w:jc w:val="both"/>
        <w:rPr>
          <w:color w:val="414142"/>
          <w:sz w:val="20"/>
          <w:szCs w:val="20"/>
        </w:rPr>
      </w:pPr>
      <w:r w:rsidRPr="00240934">
        <w:rPr>
          <w:rStyle w:val="FootnoteReference"/>
          <w:sz w:val="20"/>
          <w:szCs w:val="20"/>
        </w:rPr>
        <w:footnoteRef/>
      </w:r>
      <w:r w:rsidRPr="00240934">
        <w:rPr>
          <w:sz w:val="20"/>
          <w:szCs w:val="20"/>
        </w:rPr>
        <w:t xml:space="preserve"> </w:t>
      </w:r>
      <w:r w:rsidRPr="00240934">
        <w:rPr>
          <w:bCs/>
          <w:sz w:val="20"/>
          <w:szCs w:val="20"/>
        </w:rPr>
        <w:t xml:space="preserve">Ministru kabineta </w:t>
      </w:r>
      <w:r w:rsidRPr="00240934">
        <w:rPr>
          <w:sz w:val="20"/>
          <w:szCs w:val="20"/>
        </w:rPr>
        <w:t xml:space="preserve">2005.gada 27.decembra </w:t>
      </w:r>
      <w:r w:rsidRPr="00240934">
        <w:rPr>
          <w:bCs/>
          <w:sz w:val="20"/>
          <w:szCs w:val="20"/>
        </w:rPr>
        <w:t>noteikumi Nr.1001</w:t>
      </w:r>
      <w:r w:rsidRPr="00240934">
        <w:rPr>
          <w:sz w:val="20"/>
          <w:szCs w:val="20"/>
        </w:rPr>
        <w:t xml:space="preserve"> “</w:t>
      </w:r>
      <w:r w:rsidRPr="00240934">
        <w:rPr>
          <w:bCs/>
          <w:sz w:val="20"/>
          <w:szCs w:val="20"/>
        </w:rPr>
        <w:t>Zinātniskā doktora grāda piešķiršanas (promocijas) kārtība un kritēriji”</w:t>
      </w:r>
    </w:p>
  </w:footnote>
  <w:footnote w:id="3">
    <w:p w:rsidR="001E3D25" w:rsidRPr="00B42047" w:rsidRDefault="001E3D25" w:rsidP="00B42047">
      <w:pPr>
        <w:pStyle w:val="FootnoteText"/>
        <w:jc w:val="both"/>
      </w:pPr>
      <w:r w:rsidRPr="00B42047">
        <w:rPr>
          <w:rStyle w:val="FootnoteReference"/>
        </w:rPr>
        <w:footnoteRef/>
      </w:r>
      <w:hyperlink r:id="rId1" w:history="1">
        <w:r w:rsidR="00B42047" w:rsidRPr="00B42047">
          <w:rPr>
            <w:rStyle w:val="Hyperlink"/>
          </w:rPr>
          <w:t>https://www.lzp.gov.lv/images/stories/dokumenti/LZP_eksperta_tiesibu_pieskirsanas_kartiba_2018.01.15_19_1_1.pdf</w:t>
        </w:r>
      </w:hyperlink>
      <w:r w:rsidR="00B42047" w:rsidRPr="00B42047">
        <w:rPr>
          <w:color w:val="000000"/>
        </w:rPr>
        <w:t xml:space="preserve"> </w:t>
      </w:r>
    </w:p>
  </w:footnote>
  <w:footnote w:id="4">
    <w:p w:rsidR="00CB5E7E" w:rsidRDefault="00CB5E7E">
      <w:pPr>
        <w:pStyle w:val="FootnoteText"/>
      </w:pPr>
      <w:r>
        <w:rPr>
          <w:rStyle w:val="FootnoteReference"/>
        </w:rPr>
        <w:footnoteRef/>
      </w:r>
      <w:r>
        <w:t xml:space="preserve"> Atbilstoši Ministru kabineta 2018. gada 23. janvāra noteikumiem Nr. 49 “Noteikumi par Latvijas zinātnes nozarēm un </w:t>
      </w:r>
      <w:proofErr w:type="spellStart"/>
      <w:r>
        <w:t>apakšnozarēm</w:t>
      </w:r>
      <w:proofErr w:type="spellEnd"/>
      <w:r>
        <w:t>”</w:t>
      </w:r>
    </w:p>
  </w:footnote>
  <w:footnote w:id="5">
    <w:p w:rsidR="002F55DB" w:rsidRPr="002F55DB" w:rsidRDefault="002F55DB" w:rsidP="002F55DB">
      <w:pPr>
        <w:jc w:val="both"/>
        <w:rPr>
          <w:sz w:val="20"/>
          <w:szCs w:val="20"/>
        </w:rPr>
      </w:pPr>
      <w:r w:rsidRPr="002F55DB">
        <w:rPr>
          <w:rStyle w:val="FootnoteReference"/>
          <w:sz w:val="20"/>
          <w:szCs w:val="20"/>
        </w:rPr>
        <w:footnoteRef/>
      </w:r>
      <w:r w:rsidRPr="002F55DB">
        <w:rPr>
          <w:sz w:val="20"/>
          <w:szCs w:val="20"/>
        </w:rPr>
        <w:t xml:space="preserve"> </w:t>
      </w:r>
      <w:r w:rsidRPr="002F55DB">
        <w:rPr>
          <w:bCs/>
          <w:sz w:val="20"/>
          <w:szCs w:val="20"/>
        </w:rPr>
        <w:t xml:space="preserve">Ministru kabineta </w:t>
      </w:r>
      <w:r>
        <w:rPr>
          <w:sz w:val="20"/>
          <w:szCs w:val="20"/>
        </w:rPr>
        <w:t>2016. gada 16. augusta</w:t>
      </w:r>
      <w:r w:rsidRPr="002F55DB">
        <w:rPr>
          <w:sz w:val="20"/>
          <w:szCs w:val="20"/>
        </w:rPr>
        <w:t xml:space="preserve"> </w:t>
      </w:r>
      <w:r w:rsidRPr="002F55DB">
        <w:rPr>
          <w:bCs/>
          <w:sz w:val="20"/>
          <w:szCs w:val="20"/>
        </w:rPr>
        <w:t>rīkojums Nr. 452</w:t>
      </w:r>
      <w:r>
        <w:rPr>
          <w:sz w:val="20"/>
          <w:szCs w:val="20"/>
        </w:rPr>
        <w:t xml:space="preserve"> “</w:t>
      </w:r>
      <w:r w:rsidRPr="002F55DB">
        <w:rPr>
          <w:bCs/>
          <w:sz w:val="20"/>
          <w:szCs w:val="20"/>
        </w:rPr>
        <w:t>Par Latvijas Zinātnes padomes sastāvu</w:t>
      </w:r>
      <w:r>
        <w:rPr>
          <w:b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292419"/>
      <w:docPartObj>
        <w:docPartGallery w:val="Page Numbers (Top of Page)"/>
        <w:docPartUnique/>
      </w:docPartObj>
    </w:sdtPr>
    <w:sdtEndPr>
      <w:rPr>
        <w:noProof/>
      </w:rPr>
    </w:sdtEndPr>
    <w:sdtContent>
      <w:p w:rsidR="003D30A4" w:rsidRDefault="003D30A4" w:rsidP="00951BB9">
        <w:pPr>
          <w:pStyle w:val="Header"/>
          <w:jc w:val="center"/>
        </w:pPr>
        <w:r>
          <w:fldChar w:fldCharType="begin"/>
        </w:r>
        <w:r>
          <w:instrText xml:space="preserve"> PAGE   \* MERGEFORMAT </w:instrText>
        </w:r>
        <w:r>
          <w:fldChar w:fldCharType="separate"/>
        </w:r>
        <w:r w:rsidR="0043543B">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2954"/>
    <w:multiLevelType w:val="hybridMultilevel"/>
    <w:tmpl w:val="412EDD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E85F30"/>
    <w:multiLevelType w:val="hybridMultilevel"/>
    <w:tmpl w:val="0108CC14"/>
    <w:lvl w:ilvl="0" w:tplc="365CBC36">
      <w:start w:val="1"/>
      <w:numFmt w:val="low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50E2A"/>
    <w:rsid w:val="000A336E"/>
    <w:rsid w:val="000E34AF"/>
    <w:rsid w:val="001E3D25"/>
    <w:rsid w:val="00227C1E"/>
    <w:rsid w:val="00235C54"/>
    <w:rsid w:val="00237C90"/>
    <w:rsid w:val="00240668"/>
    <w:rsid w:val="00240934"/>
    <w:rsid w:val="002B0823"/>
    <w:rsid w:val="002D3946"/>
    <w:rsid w:val="002F55DB"/>
    <w:rsid w:val="003D30A4"/>
    <w:rsid w:val="0043543B"/>
    <w:rsid w:val="00497D90"/>
    <w:rsid w:val="004A29AC"/>
    <w:rsid w:val="004A5536"/>
    <w:rsid w:val="004D5EAA"/>
    <w:rsid w:val="005722AB"/>
    <w:rsid w:val="006063E2"/>
    <w:rsid w:val="006211F0"/>
    <w:rsid w:val="00674D0E"/>
    <w:rsid w:val="006E0DEA"/>
    <w:rsid w:val="006E31E0"/>
    <w:rsid w:val="00724F51"/>
    <w:rsid w:val="00776277"/>
    <w:rsid w:val="00815C62"/>
    <w:rsid w:val="008449B9"/>
    <w:rsid w:val="00912408"/>
    <w:rsid w:val="0092669E"/>
    <w:rsid w:val="00951BB9"/>
    <w:rsid w:val="009B6262"/>
    <w:rsid w:val="009F7038"/>
    <w:rsid w:val="00A74B64"/>
    <w:rsid w:val="00A84ED6"/>
    <w:rsid w:val="00AA5570"/>
    <w:rsid w:val="00AB32BB"/>
    <w:rsid w:val="00AB7302"/>
    <w:rsid w:val="00B00EED"/>
    <w:rsid w:val="00B42047"/>
    <w:rsid w:val="00B94112"/>
    <w:rsid w:val="00BA3B8D"/>
    <w:rsid w:val="00BD5588"/>
    <w:rsid w:val="00C2587C"/>
    <w:rsid w:val="00C55B51"/>
    <w:rsid w:val="00CB5E7E"/>
    <w:rsid w:val="00CF1D54"/>
    <w:rsid w:val="00D31BD2"/>
    <w:rsid w:val="00DB1149"/>
    <w:rsid w:val="00E44472"/>
    <w:rsid w:val="00E76C65"/>
    <w:rsid w:val="00EC1807"/>
    <w:rsid w:val="00F67013"/>
    <w:rsid w:val="00FC5105"/>
    <w:rsid w:val="00FF2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DDEF1-622E-49E1-AAAA-1F22ACEF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74B64"/>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ListParagraph">
    <w:name w:val="List Paragraph"/>
    <w:basedOn w:val="Normal"/>
    <w:uiPriority w:val="34"/>
    <w:qFormat/>
    <w:rsid w:val="00E76C65"/>
    <w:pPr>
      <w:ind w:left="720"/>
      <w:contextualSpacing/>
    </w:pPr>
  </w:style>
  <w:style w:type="paragraph" w:styleId="EndnoteText">
    <w:name w:val="endnote text"/>
    <w:basedOn w:val="Normal"/>
    <w:link w:val="EndnoteTextChar"/>
    <w:uiPriority w:val="99"/>
    <w:semiHidden/>
    <w:unhideWhenUsed/>
    <w:rsid w:val="0092669E"/>
    <w:rPr>
      <w:sz w:val="20"/>
      <w:szCs w:val="20"/>
    </w:rPr>
  </w:style>
  <w:style w:type="character" w:customStyle="1" w:styleId="EndnoteTextChar">
    <w:name w:val="Endnote Text Char"/>
    <w:basedOn w:val="DefaultParagraphFont"/>
    <w:link w:val="EndnoteText"/>
    <w:uiPriority w:val="99"/>
    <w:semiHidden/>
    <w:rsid w:val="0092669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92669E"/>
    <w:rPr>
      <w:vertAlign w:val="superscript"/>
    </w:rPr>
  </w:style>
  <w:style w:type="paragraph" w:styleId="FootnoteText">
    <w:name w:val="footnote text"/>
    <w:basedOn w:val="Normal"/>
    <w:link w:val="FootnoteTextChar"/>
    <w:uiPriority w:val="99"/>
    <w:semiHidden/>
    <w:unhideWhenUsed/>
    <w:rsid w:val="001E3D25"/>
    <w:rPr>
      <w:sz w:val="20"/>
      <w:szCs w:val="20"/>
    </w:rPr>
  </w:style>
  <w:style w:type="character" w:customStyle="1" w:styleId="FootnoteTextChar">
    <w:name w:val="Footnote Text Char"/>
    <w:basedOn w:val="DefaultParagraphFont"/>
    <w:link w:val="FootnoteText"/>
    <w:uiPriority w:val="99"/>
    <w:semiHidden/>
    <w:rsid w:val="001E3D2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E3D25"/>
    <w:rPr>
      <w:vertAlign w:val="superscript"/>
    </w:rPr>
  </w:style>
  <w:style w:type="paragraph" w:styleId="Header">
    <w:name w:val="header"/>
    <w:basedOn w:val="Normal"/>
    <w:link w:val="HeaderChar"/>
    <w:uiPriority w:val="99"/>
    <w:unhideWhenUsed/>
    <w:rsid w:val="003D30A4"/>
    <w:pPr>
      <w:tabs>
        <w:tab w:val="center" w:pos="4153"/>
        <w:tab w:val="right" w:pos="8306"/>
      </w:tabs>
    </w:pPr>
  </w:style>
  <w:style w:type="character" w:customStyle="1" w:styleId="HeaderChar">
    <w:name w:val="Header Char"/>
    <w:basedOn w:val="DefaultParagraphFont"/>
    <w:link w:val="Header"/>
    <w:uiPriority w:val="99"/>
    <w:rsid w:val="003D30A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D30A4"/>
    <w:pPr>
      <w:tabs>
        <w:tab w:val="center" w:pos="4153"/>
        <w:tab w:val="right" w:pos="8306"/>
      </w:tabs>
    </w:pPr>
  </w:style>
  <w:style w:type="character" w:customStyle="1" w:styleId="FooterChar">
    <w:name w:val="Footer Char"/>
    <w:basedOn w:val="DefaultParagraphFont"/>
    <w:link w:val="Footer"/>
    <w:uiPriority w:val="99"/>
    <w:rsid w:val="003D30A4"/>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A74B6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CF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5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39912">
      <w:bodyDiv w:val="1"/>
      <w:marLeft w:val="0"/>
      <w:marRight w:val="0"/>
      <w:marTop w:val="0"/>
      <w:marBottom w:val="0"/>
      <w:divBdr>
        <w:top w:val="none" w:sz="0" w:space="0" w:color="auto"/>
        <w:left w:val="none" w:sz="0" w:space="0" w:color="auto"/>
        <w:bottom w:val="none" w:sz="0" w:space="0" w:color="auto"/>
        <w:right w:val="none" w:sz="0" w:space="0" w:color="auto"/>
      </w:divBdr>
      <w:divsChild>
        <w:div w:id="1185822251">
          <w:marLeft w:val="0"/>
          <w:marRight w:val="0"/>
          <w:marTop w:val="0"/>
          <w:marBottom w:val="0"/>
          <w:divBdr>
            <w:top w:val="none" w:sz="0" w:space="0" w:color="auto"/>
            <w:left w:val="none" w:sz="0" w:space="0" w:color="auto"/>
            <w:bottom w:val="none" w:sz="0" w:space="0" w:color="auto"/>
            <w:right w:val="none" w:sz="0" w:space="0" w:color="auto"/>
          </w:divBdr>
          <w:divsChild>
            <w:div w:id="1268391019">
              <w:marLeft w:val="0"/>
              <w:marRight w:val="0"/>
              <w:marTop w:val="0"/>
              <w:marBottom w:val="0"/>
              <w:divBdr>
                <w:top w:val="none" w:sz="0" w:space="0" w:color="auto"/>
                <w:left w:val="none" w:sz="0" w:space="0" w:color="auto"/>
                <w:bottom w:val="none" w:sz="0" w:space="0" w:color="auto"/>
                <w:right w:val="none" w:sz="0" w:space="0" w:color="auto"/>
              </w:divBdr>
              <w:divsChild>
                <w:div w:id="1699349980">
                  <w:marLeft w:val="0"/>
                  <w:marRight w:val="0"/>
                  <w:marTop w:val="0"/>
                  <w:marBottom w:val="0"/>
                  <w:divBdr>
                    <w:top w:val="none" w:sz="0" w:space="0" w:color="auto"/>
                    <w:left w:val="none" w:sz="0" w:space="0" w:color="auto"/>
                    <w:bottom w:val="none" w:sz="0" w:space="0" w:color="auto"/>
                    <w:right w:val="none" w:sz="0" w:space="0" w:color="auto"/>
                  </w:divBdr>
                  <w:divsChild>
                    <w:div w:id="1730610886">
                      <w:marLeft w:val="0"/>
                      <w:marRight w:val="0"/>
                      <w:marTop w:val="0"/>
                      <w:marBottom w:val="0"/>
                      <w:divBdr>
                        <w:top w:val="none" w:sz="0" w:space="0" w:color="auto"/>
                        <w:left w:val="none" w:sz="0" w:space="0" w:color="auto"/>
                        <w:bottom w:val="none" w:sz="0" w:space="0" w:color="auto"/>
                        <w:right w:val="none" w:sz="0" w:space="0" w:color="auto"/>
                      </w:divBdr>
                      <w:divsChild>
                        <w:div w:id="9141896">
                          <w:marLeft w:val="0"/>
                          <w:marRight w:val="0"/>
                          <w:marTop w:val="0"/>
                          <w:marBottom w:val="0"/>
                          <w:divBdr>
                            <w:top w:val="none" w:sz="0" w:space="0" w:color="auto"/>
                            <w:left w:val="none" w:sz="0" w:space="0" w:color="auto"/>
                            <w:bottom w:val="none" w:sz="0" w:space="0" w:color="auto"/>
                            <w:right w:val="none" w:sz="0" w:space="0" w:color="auto"/>
                          </w:divBdr>
                          <w:divsChild>
                            <w:div w:id="18922252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3771">
      <w:bodyDiv w:val="1"/>
      <w:marLeft w:val="0"/>
      <w:marRight w:val="0"/>
      <w:marTop w:val="0"/>
      <w:marBottom w:val="0"/>
      <w:divBdr>
        <w:top w:val="none" w:sz="0" w:space="0" w:color="auto"/>
        <w:left w:val="none" w:sz="0" w:space="0" w:color="auto"/>
        <w:bottom w:val="none" w:sz="0" w:space="0" w:color="auto"/>
        <w:right w:val="none" w:sz="0" w:space="0" w:color="auto"/>
      </w:divBdr>
      <w:divsChild>
        <w:div w:id="1960600267">
          <w:marLeft w:val="0"/>
          <w:marRight w:val="0"/>
          <w:marTop w:val="0"/>
          <w:marBottom w:val="0"/>
          <w:divBdr>
            <w:top w:val="none" w:sz="0" w:space="0" w:color="auto"/>
            <w:left w:val="none" w:sz="0" w:space="0" w:color="auto"/>
            <w:bottom w:val="none" w:sz="0" w:space="0" w:color="auto"/>
            <w:right w:val="none" w:sz="0" w:space="0" w:color="auto"/>
          </w:divBdr>
          <w:divsChild>
            <w:div w:id="475026854">
              <w:marLeft w:val="0"/>
              <w:marRight w:val="0"/>
              <w:marTop w:val="0"/>
              <w:marBottom w:val="0"/>
              <w:divBdr>
                <w:top w:val="none" w:sz="0" w:space="0" w:color="auto"/>
                <w:left w:val="none" w:sz="0" w:space="0" w:color="auto"/>
                <w:bottom w:val="none" w:sz="0" w:space="0" w:color="auto"/>
                <w:right w:val="none" w:sz="0" w:space="0" w:color="auto"/>
              </w:divBdr>
              <w:divsChild>
                <w:div w:id="1841384774">
                  <w:marLeft w:val="0"/>
                  <w:marRight w:val="0"/>
                  <w:marTop w:val="0"/>
                  <w:marBottom w:val="0"/>
                  <w:divBdr>
                    <w:top w:val="none" w:sz="0" w:space="0" w:color="auto"/>
                    <w:left w:val="none" w:sz="0" w:space="0" w:color="auto"/>
                    <w:bottom w:val="none" w:sz="0" w:space="0" w:color="auto"/>
                    <w:right w:val="none" w:sz="0" w:space="0" w:color="auto"/>
                  </w:divBdr>
                  <w:divsChild>
                    <w:div w:id="1800220388">
                      <w:marLeft w:val="0"/>
                      <w:marRight w:val="0"/>
                      <w:marTop w:val="0"/>
                      <w:marBottom w:val="0"/>
                      <w:divBdr>
                        <w:top w:val="none" w:sz="0" w:space="0" w:color="auto"/>
                        <w:left w:val="none" w:sz="0" w:space="0" w:color="auto"/>
                        <w:bottom w:val="none" w:sz="0" w:space="0" w:color="auto"/>
                        <w:right w:val="none" w:sz="0" w:space="0" w:color="auto"/>
                      </w:divBdr>
                      <w:divsChild>
                        <w:div w:id="913006344">
                          <w:marLeft w:val="0"/>
                          <w:marRight w:val="0"/>
                          <w:marTop w:val="0"/>
                          <w:marBottom w:val="0"/>
                          <w:divBdr>
                            <w:top w:val="none" w:sz="0" w:space="0" w:color="auto"/>
                            <w:left w:val="none" w:sz="0" w:space="0" w:color="auto"/>
                            <w:bottom w:val="none" w:sz="0" w:space="0" w:color="auto"/>
                            <w:right w:val="none" w:sz="0" w:space="0" w:color="auto"/>
                          </w:divBdr>
                          <w:divsChild>
                            <w:div w:id="17858050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1199">
      <w:bodyDiv w:val="1"/>
      <w:marLeft w:val="0"/>
      <w:marRight w:val="0"/>
      <w:marTop w:val="0"/>
      <w:marBottom w:val="0"/>
      <w:divBdr>
        <w:top w:val="none" w:sz="0" w:space="0" w:color="auto"/>
        <w:left w:val="none" w:sz="0" w:space="0" w:color="auto"/>
        <w:bottom w:val="none" w:sz="0" w:space="0" w:color="auto"/>
        <w:right w:val="none" w:sz="0" w:space="0" w:color="auto"/>
      </w:divBdr>
      <w:divsChild>
        <w:div w:id="954098583">
          <w:marLeft w:val="0"/>
          <w:marRight w:val="0"/>
          <w:marTop w:val="0"/>
          <w:marBottom w:val="0"/>
          <w:divBdr>
            <w:top w:val="none" w:sz="0" w:space="0" w:color="auto"/>
            <w:left w:val="none" w:sz="0" w:space="0" w:color="auto"/>
            <w:bottom w:val="none" w:sz="0" w:space="0" w:color="auto"/>
            <w:right w:val="none" w:sz="0" w:space="0" w:color="auto"/>
          </w:divBdr>
          <w:divsChild>
            <w:div w:id="599146318">
              <w:marLeft w:val="0"/>
              <w:marRight w:val="0"/>
              <w:marTop w:val="0"/>
              <w:marBottom w:val="0"/>
              <w:divBdr>
                <w:top w:val="none" w:sz="0" w:space="0" w:color="auto"/>
                <w:left w:val="none" w:sz="0" w:space="0" w:color="auto"/>
                <w:bottom w:val="none" w:sz="0" w:space="0" w:color="auto"/>
                <w:right w:val="none" w:sz="0" w:space="0" w:color="auto"/>
              </w:divBdr>
              <w:divsChild>
                <w:div w:id="1807118732">
                  <w:marLeft w:val="0"/>
                  <w:marRight w:val="0"/>
                  <w:marTop w:val="0"/>
                  <w:marBottom w:val="0"/>
                  <w:divBdr>
                    <w:top w:val="none" w:sz="0" w:space="0" w:color="auto"/>
                    <w:left w:val="none" w:sz="0" w:space="0" w:color="auto"/>
                    <w:bottom w:val="none" w:sz="0" w:space="0" w:color="auto"/>
                    <w:right w:val="none" w:sz="0" w:space="0" w:color="auto"/>
                  </w:divBdr>
                  <w:divsChild>
                    <w:div w:id="1234127196">
                      <w:marLeft w:val="0"/>
                      <w:marRight w:val="0"/>
                      <w:marTop w:val="0"/>
                      <w:marBottom w:val="0"/>
                      <w:divBdr>
                        <w:top w:val="none" w:sz="0" w:space="0" w:color="auto"/>
                        <w:left w:val="none" w:sz="0" w:space="0" w:color="auto"/>
                        <w:bottom w:val="none" w:sz="0" w:space="0" w:color="auto"/>
                        <w:right w:val="none" w:sz="0" w:space="0" w:color="auto"/>
                      </w:divBdr>
                      <w:divsChild>
                        <w:div w:id="1606377917">
                          <w:marLeft w:val="0"/>
                          <w:marRight w:val="0"/>
                          <w:marTop w:val="0"/>
                          <w:marBottom w:val="0"/>
                          <w:divBdr>
                            <w:top w:val="none" w:sz="0" w:space="0" w:color="auto"/>
                            <w:left w:val="none" w:sz="0" w:space="0" w:color="auto"/>
                            <w:bottom w:val="none" w:sz="0" w:space="0" w:color="auto"/>
                            <w:right w:val="none" w:sz="0" w:space="0" w:color="auto"/>
                          </w:divBdr>
                          <w:divsChild>
                            <w:div w:id="176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46973">
      <w:bodyDiv w:val="1"/>
      <w:marLeft w:val="0"/>
      <w:marRight w:val="0"/>
      <w:marTop w:val="0"/>
      <w:marBottom w:val="0"/>
      <w:divBdr>
        <w:top w:val="none" w:sz="0" w:space="0" w:color="auto"/>
        <w:left w:val="none" w:sz="0" w:space="0" w:color="auto"/>
        <w:bottom w:val="none" w:sz="0" w:space="0" w:color="auto"/>
        <w:right w:val="none" w:sz="0" w:space="0" w:color="auto"/>
      </w:divBdr>
      <w:divsChild>
        <w:div w:id="172958187">
          <w:marLeft w:val="0"/>
          <w:marRight w:val="0"/>
          <w:marTop w:val="0"/>
          <w:marBottom w:val="0"/>
          <w:divBdr>
            <w:top w:val="none" w:sz="0" w:space="0" w:color="auto"/>
            <w:left w:val="none" w:sz="0" w:space="0" w:color="auto"/>
            <w:bottom w:val="none" w:sz="0" w:space="0" w:color="auto"/>
            <w:right w:val="none" w:sz="0" w:space="0" w:color="auto"/>
          </w:divBdr>
          <w:divsChild>
            <w:div w:id="179517497">
              <w:marLeft w:val="0"/>
              <w:marRight w:val="0"/>
              <w:marTop w:val="0"/>
              <w:marBottom w:val="0"/>
              <w:divBdr>
                <w:top w:val="none" w:sz="0" w:space="0" w:color="auto"/>
                <w:left w:val="none" w:sz="0" w:space="0" w:color="auto"/>
                <w:bottom w:val="none" w:sz="0" w:space="0" w:color="auto"/>
                <w:right w:val="none" w:sz="0" w:space="0" w:color="auto"/>
              </w:divBdr>
              <w:divsChild>
                <w:div w:id="622736548">
                  <w:marLeft w:val="0"/>
                  <w:marRight w:val="0"/>
                  <w:marTop w:val="0"/>
                  <w:marBottom w:val="0"/>
                  <w:divBdr>
                    <w:top w:val="none" w:sz="0" w:space="0" w:color="auto"/>
                    <w:left w:val="none" w:sz="0" w:space="0" w:color="auto"/>
                    <w:bottom w:val="none" w:sz="0" w:space="0" w:color="auto"/>
                    <w:right w:val="none" w:sz="0" w:space="0" w:color="auto"/>
                  </w:divBdr>
                  <w:divsChild>
                    <w:div w:id="222107767">
                      <w:marLeft w:val="0"/>
                      <w:marRight w:val="0"/>
                      <w:marTop w:val="0"/>
                      <w:marBottom w:val="0"/>
                      <w:divBdr>
                        <w:top w:val="none" w:sz="0" w:space="0" w:color="auto"/>
                        <w:left w:val="none" w:sz="0" w:space="0" w:color="auto"/>
                        <w:bottom w:val="none" w:sz="0" w:space="0" w:color="auto"/>
                        <w:right w:val="none" w:sz="0" w:space="0" w:color="auto"/>
                      </w:divBdr>
                      <w:divsChild>
                        <w:div w:id="1537623778">
                          <w:marLeft w:val="0"/>
                          <w:marRight w:val="0"/>
                          <w:marTop w:val="0"/>
                          <w:marBottom w:val="0"/>
                          <w:divBdr>
                            <w:top w:val="none" w:sz="0" w:space="0" w:color="auto"/>
                            <w:left w:val="none" w:sz="0" w:space="0" w:color="auto"/>
                            <w:bottom w:val="none" w:sz="0" w:space="0" w:color="auto"/>
                            <w:right w:val="none" w:sz="0" w:space="0" w:color="auto"/>
                          </w:divBdr>
                          <w:divsChild>
                            <w:div w:id="7219762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0295">
      <w:bodyDiv w:val="1"/>
      <w:marLeft w:val="0"/>
      <w:marRight w:val="0"/>
      <w:marTop w:val="0"/>
      <w:marBottom w:val="0"/>
      <w:divBdr>
        <w:top w:val="none" w:sz="0" w:space="0" w:color="auto"/>
        <w:left w:val="none" w:sz="0" w:space="0" w:color="auto"/>
        <w:bottom w:val="none" w:sz="0" w:space="0" w:color="auto"/>
        <w:right w:val="none" w:sz="0" w:space="0" w:color="auto"/>
      </w:divBdr>
    </w:div>
    <w:div w:id="1740060557">
      <w:bodyDiv w:val="1"/>
      <w:marLeft w:val="0"/>
      <w:marRight w:val="0"/>
      <w:marTop w:val="0"/>
      <w:marBottom w:val="0"/>
      <w:divBdr>
        <w:top w:val="none" w:sz="0" w:space="0" w:color="auto"/>
        <w:left w:val="none" w:sz="0" w:space="0" w:color="auto"/>
        <w:bottom w:val="none" w:sz="0" w:space="0" w:color="auto"/>
        <w:right w:val="none" w:sz="0" w:space="0" w:color="auto"/>
      </w:divBdr>
    </w:div>
    <w:div w:id="1827164080">
      <w:bodyDiv w:val="1"/>
      <w:marLeft w:val="0"/>
      <w:marRight w:val="0"/>
      <w:marTop w:val="0"/>
      <w:marBottom w:val="0"/>
      <w:divBdr>
        <w:top w:val="none" w:sz="0" w:space="0" w:color="auto"/>
        <w:left w:val="none" w:sz="0" w:space="0" w:color="auto"/>
        <w:bottom w:val="none" w:sz="0" w:space="0" w:color="auto"/>
        <w:right w:val="none" w:sz="0" w:space="0" w:color="auto"/>
      </w:divBdr>
      <w:divsChild>
        <w:div w:id="481820715">
          <w:marLeft w:val="0"/>
          <w:marRight w:val="0"/>
          <w:marTop w:val="0"/>
          <w:marBottom w:val="0"/>
          <w:divBdr>
            <w:top w:val="none" w:sz="0" w:space="0" w:color="auto"/>
            <w:left w:val="none" w:sz="0" w:space="0" w:color="auto"/>
            <w:bottom w:val="none" w:sz="0" w:space="0" w:color="auto"/>
            <w:right w:val="none" w:sz="0" w:space="0" w:color="auto"/>
          </w:divBdr>
          <w:divsChild>
            <w:div w:id="353505118">
              <w:marLeft w:val="0"/>
              <w:marRight w:val="0"/>
              <w:marTop w:val="0"/>
              <w:marBottom w:val="0"/>
              <w:divBdr>
                <w:top w:val="none" w:sz="0" w:space="0" w:color="auto"/>
                <w:left w:val="none" w:sz="0" w:space="0" w:color="auto"/>
                <w:bottom w:val="none" w:sz="0" w:space="0" w:color="auto"/>
                <w:right w:val="none" w:sz="0" w:space="0" w:color="auto"/>
              </w:divBdr>
              <w:divsChild>
                <w:div w:id="915675859">
                  <w:marLeft w:val="0"/>
                  <w:marRight w:val="0"/>
                  <w:marTop w:val="0"/>
                  <w:marBottom w:val="0"/>
                  <w:divBdr>
                    <w:top w:val="none" w:sz="0" w:space="0" w:color="auto"/>
                    <w:left w:val="none" w:sz="0" w:space="0" w:color="auto"/>
                    <w:bottom w:val="none" w:sz="0" w:space="0" w:color="auto"/>
                    <w:right w:val="none" w:sz="0" w:space="0" w:color="auto"/>
                  </w:divBdr>
                  <w:divsChild>
                    <w:div w:id="2121414401">
                      <w:marLeft w:val="0"/>
                      <w:marRight w:val="0"/>
                      <w:marTop w:val="0"/>
                      <w:marBottom w:val="0"/>
                      <w:divBdr>
                        <w:top w:val="none" w:sz="0" w:space="0" w:color="auto"/>
                        <w:left w:val="none" w:sz="0" w:space="0" w:color="auto"/>
                        <w:bottom w:val="none" w:sz="0" w:space="0" w:color="auto"/>
                        <w:right w:val="none" w:sz="0" w:space="0" w:color="auto"/>
                      </w:divBdr>
                      <w:divsChild>
                        <w:div w:id="241185729">
                          <w:marLeft w:val="0"/>
                          <w:marRight w:val="0"/>
                          <w:marTop w:val="0"/>
                          <w:marBottom w:val="0"/>
                          <w:divBdr>
                            <w:top w:val="none" w:sz="0" w:space="0" w:color="auto"/>
                            <w:left w:val="none" w:sz="0" w:space="0" w:color="auto"/>
                            <w:bottom w:val="none" w:sz="0" w:space="0" w:color="auto"/>
                            <w:right w:val="none" w:sz="0" w:space="0" w:color="auto"/>
                          </w:divBdr>
                          <w:divsChild>
                            <w:div w:id="3277530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2030">
      <w:bodyDiv w:val="1"/>
      <w:marLeft w:val="0"/>
      <w:marRight w:val="0"/>
      <w:marTop w:val="0"/>
      <w:marBottom w:val="0"/>
      <w:divBdr>
        <w:top w:val="none" w:sz="0" w:space="0" w:color="auto"/>
        <w:left w:val="none" w:sz="0" w:space="0" w:color="auto"/>
        <w:bottom w:val="none" w:sz="0" w:space="0" w:color="auto"/>
        <w:right w:val="none" w:sz="0" w:space="0" w:color="auto"/>
      </w:divBdr>
      <w:divsChild>
        <w:div w:id="83578108">
          <w:marLeft w:val="0"/>
          <w:marRight w:val="0"/>
          <w:marTop w:val="0"/>
          <w:marBottom w:val="0"/>
          <w:divBdr>
            <w:top w:val="none" w:sz="0" w:space="0" w:color="auto"/>
            <w:left w:val="none" w:sz="0" w:space="0" w:color="auto"/>
            <w:bottom w:val="none" w:sz="0" w:space="0" w:color="auto"/>
            <w:right w:val="none" w:sz="0" w:space="0" w:color="auto"/>
          </w:divBdr>
          <w:divsChild>
            <w:div w:id="371733174">
              <w:marLeft w:val="0"/>
              <w:marRight w:val="0"/>
              <w:marTop w:val="0"/>
              <w:marBottom w:val="0"/>
              <w:divBdr>
                <w:top w:val="none" w:sz="0" w:space="0" w:color="auto"/>
                <w:left w:val="none" w:sz="0" w:space="0" w:color="auto"/>
                <w:bottom w:val="none" w:sz="0" w:space="0" w:color="auto"/>
                <w:right w:val="none" w:sz="0" w:space="0" w:color="auto"/>
              </w:divBdr>
              <w:divsChild>
                <w:div w:id="1540119415">
                  <w:marLeft w:val="0"/>
                  <w:marRight w:val="0"/>
                  <w:marTop w:val="0"/>
                  <w:marBottom w:val="0"/>
                  <w:divBdr>
                    <w:top w:val="none" w:sz="0" w:space="0" w:color="auto"/>
                    <w:left w:val="none" w:sz="0" w:space="0" w:color="auto"/>
                    <w:bottom w:val="none" w:sz="0" w:space="0" w:color="auto"/>
                    <w:right w:val="none" w:sz="0" w:space="0" w:color="auto"/>
                  </w:divBdr>
                  <w:divsChild>
                    <w:div w:id="253830342">
                      <w:marLeft w:val="0"/>
                      <w:marRight w:val="0"/>
                      <w:marTop w:val="0"/>
                      <w:marBottom w:val="0"/>
                      <w:divBdr>
                        <w:top w:val="none" w:sz="0" w:space="0" w:color="auto"/>
                        <w:left w:val="none" w:sz="0" w:space="0" w:color="auto"/>
                        <w:bottom w:val="none" w:sz="0" w:space="0" w:color="auto"/>
                        <w:right w:val="none" w:sz="0" w:space="0" w:color="auto"/>
                      </w:divBdr>
                      <w:divsChild>
                        <w:div w:id="1151171289">
                          <w:marLeft w:val="0"/>
                          <w:marRight w:val="0"/>
                          <w:marTop w:val="0"/>
                          <w:marBottom w:val="0"/>
                          <w:divBdr>
                            <w:top w:val="none" w:sz="0" w:space="0" w:color="auto"/>
                            <w:left w:val="none" w:sz="0" w:space="0" w:color="auto"/>
                            <w:bottom w:val="none" w:sz="0" w:space="0" w:color="auto"/>
                            <w:right w:val="none" w:sz="0" w:space="0" w:color="auto"/>
                          </w:divBdr>
                          <w:divsChild>
                            <w:div w:id="13617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https://likumi.lv/ta/id/139978-noteikumi-par-latvijas-zinatnes-padomes-ekspertu-komisiju-izveidosanu-un-darbib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7337-zinatniskas-darbib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7337-zinatniskas-darb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957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07337-zinatniskas-darbibas-likums" TargetMode="External"/><Relationship Id="rId14" Type="http://schemas.openxmlformats.org/officeDocument/2006/relationships/hyperlink" Target="mailto:anita.depkovska@iz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zp.gov.lv/images/stories/dokumenti/LZP_eksperta_tiesibu_pieskirsanas_kartiba_2018.01.15_19_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F160-8363-4453-9345-B498A695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9766</Words>
  <Characters>5568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Anita Depkovska</cp:lastModifiedBy>
  <cp:revision>4</cp:revision>
  <cp:lastPrinted>2019-03-25T07:56:00Z</cp:lastPrinted>
  <dcterms:created xsi:type="dcterms:W3CDTF">2019-03-22T08:22:00Z</dcterms:created>
  <dcterms:modified xsi:type="dcterms:W3CDTF">2019-03-25T08:24:00Z</dcterms:modified>
</cp:coreProperties>
</file>